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C94" w:rsidRPr="00E261CF" w:rsidRDefault="009F1C94" w:rsidP="006C3426">
      <w:pPr>
        <w:pStyle w:val="Concorde1"/>
      </w:pPr>
      <w:bookmarkStart w:id="0" w:name="_Toc112047701"/>
    </w:p>
    <w:bookmarkEnd w:id="0"/>
    <w:p w:rsidR="009F1C94" w:rsidRPr="00E261CF" w:rsidRDefault="009F1C94" w:rsidP="004862D3"/>
    <w:p w:rsidR="009F1C94" w:rsidRPr="00E261CF" w:rsidRDefault="009F1C94" w:rsidP="004862D3"/>
    <w:p w:rsidR="009F1C94" w:rsidRPr="00E261CF" w:rsidRDefault="00303E4D" w:rsidP="00412F60">
      <w:pPr>
        <w:jc w:val="center"/>
        <w:rPr>
          <w:b/>
          <w:caps/>
          <w:sz w:val="64"/>
          <w:vertAlign w:val="subscript"/>
        </w:rPr>
      </w:pPr>
      <w:r>
        <w:rPr>
          <w:noProof/>
          <w:sz w:val="18"/>
          <w:szCs w:val="18"/>
        </w:rPr>
        <w:drawing>
          <wp:inline distT="0" distB="0" distL="0" distR="0" wp14:anchorId="1B9A4A88" wp14:editId="092A05CC">
            <wp:extent cx="3333750" cy="1114425"/>
            <wp:effectExtent l="0" t="0" r="0" b="9525"/>
            <wp:docPr id="1" name="Kép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0" cy="1114425"/>
                    </a:xfrm>
                    <a:prstGeom prst="rect">
                      <a:avLst/>
                    </a:prstGeom>
                    <a:noFill/>
                    <a:ln>
                      <a:noFill/>
                    </a:ln>
                  </pic:spPr>
                </pic:pic>
              </a:graphicData>
            </a:graphic>
          </wp:inline>
        </w:drawing>
      </w:r>
    </w:p>
    <w:p w:rsidR="009F1C94" w:rsidRPr="00E261CF" w:rsidRDefault="009F1C94" w:rsidP="004862D3"/>
    <w:p w:rsidR="009F1C94" w:rsidRPr="00E261CF" w:rsidRDefault="009F1C94" w:rsidP="004862D3"/>
    <w:p w:rsidR="009F1C94" w:rsidRPr="00E261CF" w:rsidRDefault="009F1C94" w:rsidP="004862D3"/>
    <w:p w:rsidR="009F1C94" w:rsidRPr="008657A1" w:rsidRDefault="009F1C94" w:rsidP="008657A1">
      <w:pPr>
        <w:jc w:val="center"/>
        <w:rPr>
          <w:b/>
          <w:smallCaps/>
          <w:sz w:val="22"/>
          <w:szCs w:val="22"/>
        </w:rPr>
      </w:pPr>
      <w:proofErr w:type="gramStart"/>
      <w:r w:rsidRPr="008657A1">
        <w:rPr>
          <w:b/>
          <w:smallCaps/>
          <w:sz w:val="22"/>
          <w:szCs w:val="22"/>
        </w:rPr>
        <w:t>által</w:t>
      </w:r>
      <w:proofErr w:type="gramEnd"/>
      <w:r w:rsidRPr="008657A1">
        <w:rPr>
          <w:b/>
          <w:smallCaps/>
          <w:sz w:val="22"/>
          <w:szCs w:val="22"/>
        </w:rPr>
        <w:t xml:space="preserve"> kezelt</w:t>
      </w:r>
    </w:p>
    <w:p w:rsidR="009F1C94" w:rsidRPr="00E261CF" w:rsidRDefault="009F1C94" w:rsidP="004862D3"/>
    <w:p w:rsidR="009F1C94" w:rsidRPr="00E261CF" w:rsidRDefault="009F1C94" w:rsidP="004862D3"/>
    <w:p w:rsidR="009F1C94" w:rsidRPr="00E261CF" w:rsidRDefault="009F1C94" w:rsidP="00B50305">
      <w:pPr>
        <w:pStyle w:val="kettes"/>
        <w:spacing w:before="60" w:after="120"/>
        <w:jc w:val="center"/>
        <w:rPr>
          <w:rFonts w:ascii="Verdana" w:hAnsi="Verdana"/>
          <w:lang w:val="hu-HU"/>
        </w:rPr>
      </w:pPr>
      <w:r w:rsidRPr="009F3145">
        <w:rPr>
          <w:rFonts w:ascii="Verdana" w:hAnsi="Verdana"/>
          <w:lang w:val="hu-HU"/>
        </w:rPr>
        <w:t>Concorde</w:t>
      </w:r>
      <w:r>
        <w:rPr>
          <w:rFonts w:ascii="Verdana" w:hAnsi="Verdana"/>
          <w:lang w:val="hu-HU"/>
        </w:rPr>
        <w:t xml:space="preserve"> </w:t>
      </w:r>
      <w:r w:rsidR="004D050F">
        <w:rPr>
          <w:rFonts w:ascii="Verdana" w:hAnsi="Verdana"/>
          <w:lang w:val="hu-HU"/>
        </w:rPr>
        <w:t>Hold Euro</w:t>
      </w:r>
      <w:r w:rsidR="00BF0FC1">
        <w:rPr>
          <w:rFonts w:ascii="Verdana" w:hAnsi="Verdana"/>
          <w:lang w:val="hu-HU"/>
        </w:rPr>
        <w:t xml:space="preserve"> </w:t>
      </w:r>
      <w:r w:rsidRPr="009F3145">
        <w:rPr>
          <w:rFonts w:ascii="Verdana" w:hAnsi="Verdana"/>
          <w:lang w:val="hu-HU"/>
        </w:rPr>
        <w:t>Alap</w:t>
      </w:r>
      <w:r w:rsidR="00B356A1">
        <w:rPr>
          <w:rFonts w:ascii="Verdana" w:hAnsi="Verdana"/>
          <w:lang w:val="hu-HU"/>
        </w:rPr>
        <w:t>ok Alapja</w:t>
      </w:r>
    </w:p>
    <w:p w:rsidR="009F1C94" w:rsidRPr="00E261CF" w:rsidRDefault="009F1C94" w:rsidP="004862D3"/>
    <w:p w:rsidR="009F1C94" w:rsidRPr="00E261CF" w:rsidRDefault="009F1C94" w:rsidP="004862D3"/>
    <w:p w:rsidR="009F1C94" w:rsidRPr="00E261CF" w:rsidRDefault="009F1C94" w:rsidP="004862D3"/>
    <w:p w:rsidR="009F1C94" w:rsidRPr="00E261CF" w:rsidRDefault="009F1C94" w:rsidP="00864AFF">
      <w:pPr>
        <w:pStyle w:val="Concorde0"/>
        <w:rPr>
          <w:vertAlign w:val="subscript"/>
        </w:rPr>
      </w:pPr>
      <w:bookmarkStart w:id="1" w:name="_Toc112047702"/>
      <w:bookmarkStart w:id="2" w:name="_Toc141794654"/>
      <w:bookmarkStart w:id="3" w:name="_Toc316916048"/>
      <w:r>
        <w:t>Kezelési Szabályzat</w:t>
      </w:r>
      <w:r w:rsidRPr="00E261CF">
        <w:t>a</w:t>
      </w:r>
      <w:bookmarkEnd w:id="1"/>
      <w:bookmarkEnd w:id="2"/>
      <w:bookmarkEnd w:id="3"/>
    </w:p>
    <w:p w:rsidR="009F1C94" w:rsidRPr="00E261CF" w:rsidRDefault="009F1C94" w:rsidP="004862D3"/>
    <w:p w:rsidR="009F1C94" w:rsidRPr="00E261CF" w:rsidRDefault="009F1C94" w:rsidP="004862D3"/>
    <w:p w:rsidR="009F1C94" w:rsidRPr="00E261CF" w:rsidRDefault="009F1C94" w:rsidP="004862D3"/>
    <w:p w:rsidR="009F1C94" w:rsidRPr="00E261CF" w:rsidRDefault="009F1C94" w:rsidP="00ED3AEE">
      <w:pPr>
        <w:pStyle w:val="fogalmak"/>
        <w:spacing w:before="60" w:after="120"/>
        <w:jc w:val="center"/>
        <w:rPr>
          <w:rFonts w:ascii="Verdana" w:hAnsi="Verdana"/>
          <w:sz w:val="20"/>
          <w:szCs w:val="20"/>
          <w:lang w:val="hu-HU"/>
        </w:rPr>
      </w:pPr>
      <w:r w:rsidRPr="00E261CF">
        <w:rPr>
          <w:rFonts w:ascii="Verdana" w:hAnsi="Verdana"/>
          <w:sz w:val="20"/>
          <w:szCs w:val="20"/>
          <w:lang w:val="hu-HU"/>
        </w:rPr>
        <w:t>Alapkezelő:</w:t>
      </w:r>
    </w:p>
    <w:p w:rsidR="009F1C94" w:rsidRPr="00E261CF" w:rsidRDefault="009F1C94" w:rsidP="00ED3AEE">
      <w:pPr>
        <w:pStyle w:val="fogalmak"/>
        <w:spacing w:before="60" w:after="120"/>
        <w:jc w:val="center"/>
        <w:rPr>
          <w:rFonts w:ascii="Verdana" w:hAnsi="Verdana"/>
          <w:sz w:val="20"/>
          <w:szCs w:val="20"/>
          <w:lang w:val="hu-HU"/>
        </w:rPr>
      </w:pPr>
      <w:r w:rsidRPr="00E261CF">
        <w:rPr>
          <w:rFonts w:ascii="Verdana" w:hAnsi="Verdana"/>
          <w:sz w:val="20"/>
          <w:szCs w:val="20"/>
          <w:lang w:val="hu-HU"/>
        </w:rPr>
        <w:t xml:space="preserve">Concorde Alapkezelő </w:t>
      </w:r>
      <w:r>
        <w:rPr>
          <w:rFonts w:ascii="Verdana" w:hAnsi="Verdana"/>
          <w:sz w:val="20"/>
          <w:szCs w:val="20"/>
          <w:lang w:val="hu-HU"/>
        </w:rPr>
        <w:t>zrt.</w:t>
      </w:r>
    </w:p>
    <w:p w:rsidR="009F1C94" w:rsidRPr="00E261CF" w:rsidRDefault="009F1C94" w:rsidP="00ED3AEE">
      <w:pPr>
        <w:pStyle w:val="fogalmak"/>
        <w:spacing w:before="60" w:after="120"/>
        <w:jc w:val="center"/>
        <w:rPr>
          <w:rFonts w:ascii="Verdana" w:hAnsi="Verdana"/>
          <w:sz w:val="20"/>
          <w:szCs w:val="20"/>
          <w:lang w:val="hu-HU"/>
        </w:rPr>
      </w:pPr>
      <w:r w:rsidRPr="00E261CF">
        <w:rPr>
          <w:rFonts w:ascii="Verdana" w:hAnsi="Verdana"/>
          <w:sz w:val="20"/>
          <w:szCs w:val="20"/>
          <w:lang w:val="hu-HU"/>
        </w:rPr>
        <w:t>(1123 Budapest, Alkotás utca 50.)</w:t>
      </w:r>
    </w:p>
    <w:p w:rsidR="009F1C94" w:rsidRPr="00E261CF" w:rsidRDefault="009F1C94" w:rsidP="00ED3AEE">
      <w:pPr>
        <w:jc w:val="center"/>
      </w:pPr>
    </w:p>
    <w:p w:rsidR="009F1C94" w:rsidRPr="00E261CF" w:rsidRDefault="009F1C94" w:rsidP="00ED3AEE">
      <w:pPr>
        <w:jc w:val="center"/>
      </w:pPr>
    </w:p>
    <w:p w:rsidR="009F1C94" w:rsidRPr="00E261CF" w:rsidRDefault="009F1C94" w:rsidP="00ED3AEE">
      <w:pPr>
        <w:jc w:val="center"/>
      </w:pPr>
    </w:p>
    <w:p w:rsidR="009F1C94" w:rsidRPr="00E261CF" w:rsidRDefault="009F1C94" w:rsidP="00ED3AEE">
      <w:pPr>
        <w:pStyle w:val="fogalmak"/>
        <w:spacing w:before="60" w:after="120"/>
        <w:jc w:val="center"/>
        <w:rPr>
          <w:rFonts w:ascii="Verdana" w:hAnsi="Verdana"/>
          <w:sz w:val="20"/>
          <w:szCs w:val="20"/>
          <w:lang w:val="hu-HU"/>
        </w:rPr>
      </w:pPr>
      <w:r w:rsidRPr="001059FB">
        <w:rPr>
          <w:rFonts w:ascii="Verdana" w:hAnsi="Verdana"/>
          <w:sz w:val="20"/>
          <w:szCs w:val="20"/>
          <w:lang w:val="hu-HU"/>
        </w:rPr>
        <w:t>201</w:t>
      </w:r>
      <w:r w:rsidR="00B356A1">
        <w:rPr>
          <w:rFonts w:ascii="Verdana" w:hAnsi="Verdana"/>
          <w:sz w:val="20"/>
          <w:szCs w:val="20"/>
          <w:lang w:val="hu-HU"/>
        </w:rPr>
        <w:t>3</w:t>
      </w:r>
      <w:r w:rsidRPr="001059FB">
        <w:rPr>
          <w:rFonts w:ascii="Verdana" w:hAnsi="Verdana"/>
          <w:sz w:val="20"/>
          <w:szCs w:val="20"/>
          <w:lang w:val="hu-HU"/>
        </w:rPr>
        <w:t xml:space="preserve">. </w:t>
      </w:r>
      <w:r w:rsidR="006B6AC1">
        <w:rPr>
          <w:rFonts w:ascii="Verdana" w:hAnsi="Verdana"/>
          <w:sz w:val="20"/>
          <w:szCs w:val="20"/>
          <w:lang w:val="hu-HU"/>
        </w:rPr>
        <w:t>május</w:t>
      </w:r>
      <w:r w:rsidRPr="009C09BB">
        <w:rPr>
          <w:rFonts w:ascii="Verdana" w:hAnsi="Verdana"/>
          <w:sz w:val="20"/>
          <w:szCs w:val="20"/>
          <w:lang w:val="hu-HU"/>
        </w:rPr>
        <w:t xml:space="preserve"> </w:t>
      </w:r>
      <w:r w:rsidR="00351254">
        <w:rPr>
          <w:rFonts w:ascii="Verdana" w:hAnsi="Verdana"/>
          <w:sz w:val="20"/>
          <w:szCs w:val="20"/>
          <w:lang w:val="hu-HU"/>
        </w:rPr>
        <w:t>1</w:t>
      </w:r>
      <w:r w:rsidR="006B6AC1">
        <w:rPr>
          <w:rFonts w:ascii="Verdana" w:hAnsi="Verdana"/>
          <w:sz w:val="20"/>
          <w:szCs w:val="20"/>
          <w:lang w:val="hu-HU"/>
        </w:rPr>
        <w:t>5</w:t>
      </w:r>
      <w:r w:rsidRPr="009C09BB">
        <w:rPr>
          <w:rFonts w:ascii="Verdana" w:hAnsi="Verdana"/>
          <w:sz w:val="20"/>
          <w:szCs w:val="20"/>
          <w:lang w:val="hu-HU"/>
        </w:rPr>
        <w:t>.</w:t>
      </w:r>
    </w:p>
    <w:p w:rsidR="009F1C94" w:rsidRPr="00E261CF" w:rsidRDefault="009F1C94" w:rsidP="00ED3AEE">
      <w:pPr>
        <w:pStyle w:val="fogalmak"/>
        <w:spacing w:before="60" w:after="120"/>
        <w:jc w:val="center"/>
        <w:rPr>
          <w:rFonts w:ascii="Verdana" w:hAnsi="Verdana"/>
          <w:sz w:val="20"/>
          <w:szCs w:val="20"/>
          <w:lang w:val="hu-HU"/>
        </w:rPr>
      </w:pPr>
    </w:p>
    <w:p w:rsidR="009F1C94" w:rsidRPr="00E261CF" w:rsidRDefault="009F1C94" w:rsidP="00ED3AEE">
      <w:pPr>
        <w:pStyle w:val="fogalmak"/>
        <w:spacing w:before="60" w:after="120"/>
        <w:jc w:val="center"/>
        <w:rPr>
          <w:rFonts w:ascii="Verdana" w:hAnsi="Verdana"/>
          <w:sz w:val="20"/>
          <w:szCs w:val="20"/>
          <w:lang w:val="hu-HU"/>
        </w:rPr>
      </w:pPr>
    </w:p>
    <w:p w:rsidR="009F1C94" w:rsidRPr="00E261CF" w:rsidRDefault="009F1C94" w:rsidP="004862D3"/>
    <w:p w:rsidR="009F1C94" w:rsidRDefault="009F1C94">
      <w:pPr>
        <w:keepLines w:val="0"/>
        <w:spacing w:after="0"/>
        <w:jc w:val="left"/>
        <w:rPr>
          <w:b/>
          <w:caps/>
          <w:kern w:val="28"/>
          <w:sz w:val="24"/>
        </w:rPr>
      </w:pPr>
      <w:r w:rsidRPr="00E261CF">
        <w:br w:type="page"/>
      </w:r>
      <w:bookmarkStart w:id="4" w:name="_Toc112047703"/>
      <w:bookmarkStart w:id="5" w:name="_Toc141794655"/>
      <w:bookmarkStart w:id="6" w:name="_Toc316916049"/>
    </w:p>
    <w:p w:rsidR="009F1C94" w:rsidRPr="00D77120" w:rsidRDefault="009F1C94" w:rsidP="00935C46">
      <w:pPr>
        <w:pStyle w:val="Tartalomjegyzkcmsora"/>
        <w:jc w:val="center"/>
        <w:rPr>
          <w:rFonts w:ascii="Verdana" w:hAnsi="Verdana"/>
          <w:sz w:val="24"/>
          <w:szCs w:val="24"/>
        </w:rPr>
      </w:pPr>
      <w:r w:rsidRPr="00D77120">
        <w:rPr>
          <w:rFonts w:ascii="Verdana" w:hAnsi="Verdana"/>
          <w:sz w:val="24"/>
          <w:szCs w:val="24"/>
        </w:rPr>
        <w:lastRenderedPageBreak/>
        <w:t>Tartalomjegyzék</w:t>
      </w:r>
    </w:p>
    <w:p w:rsidR="00C17533" w:rsidRDefault="009F1C94">
      <w:pPr>
        <w:pStyle w:val="TJ1"/>
        <w:tabs>
          <w:tab w:val="right" w:leader="dot" w:pos="9061"/>
        </w:tabs>
        <w:rPr>
          <w:rFonts w:asciiTheme="minorHAnsi" w:eastAsiaTheme="minorEastAsia" w:hAnsiTheme="minorHAnsi" w:cstheme="minorBidi"/>
          <w:b w:val="0"/>
          <w:bCs w:val="0"/>
          <w:caps w:val="0"/>
          <w:noProof/>
          <w:sz w:val="22"/>
          <w:szCs w:val="22"/>
        </w:rPr>
      </w:pPr>
      <w:r>
        <w:fldChar w:fldCharType="begin"/>
      </w:r>
      <w:r>
        <w:instrText xml:space="preserve"> TOC \o "1-3" \h \z \u </w:instrText>
      </w:r>
      <w:r>
        <w:fldChar w:fldCharType="separate"/>
      </w:r>
      <w:hyperlink w:anchor="_Toc349832267" w:history="1">
        <w:r w:rsidR="00C17533" w:rsidRPr="00590B3C">
          <w:rPr>
            <w:rStyle w:val="Hiperhivatkozs"/>
            <w:rFonts w:ascii="Verdana" w:hAnsi="Verdana"/>
            <w:noProof/>
          </w:rPr>
          <w:t>Definíciók</w:t>
        </w:r>
        <w:r w:rsidR="00C17533">
          <w:rPr>
            <w:noProof/>
            <w:webHidden/>
          </w:rPr>
          <w:tab/>
        </w:r>
        <w:r w:rsidR="00C17533">
          <w:rPr>
            <w:noProof/>
            <w:webHidden/>
          </w:rPr>
          <w:fldChar w:fldCharType="begin"/>
        </w:r>
        <w:r w:rsidR="00C17533">
          <w:rPr>
            <w:noProof/>
            <w:webHidden/>
          </w:rPr>
          <w:instrText xml:space="preserve"> PAGEREF _Toc349832267 \h </w:instrText>
        </w:r>
        <w:r w:rsidR="00C17533">
          <w:rPr>
            <w:noProof/>
            <w:webHidden/>
          </w:rPr>
        </w:r>
        <w:r w:rsidR="00C17533">
          <w:rPr>
            <w:noProof/>
            <w:webHidden/>
          </w:rPr>
          <w:fldChar w:fldCharType="separate"/>
        </w:r>
        <w:r w:rsidR="00B455C4">
          <w:rPr>
            <w:noProof/>
            <w:webHidden/>
          </w:rPr>
          <w:t>5</w:t>
        </w:r>
        <w:r w:rsidR="00C17533">
          <w:rPr>
            <w:noProof/>
            <w:webHidden/>
          </w:rPr>
          <w:fldChar w:fldCharType="end"/>
        </w:r>
      </w:hyperlink>
    </w:p>
    <w:p w:rsidR="00C17533" w:rsidRDefault="006B6AC1">
      <w:pPr>
        <w:pStyle w:val="TJ1"/>
        <w:tabs>
          <w:tab w:val="left" w:pos="480"/>
          <w:tab w:val="right" w:leader="dot" w:pos="9061"/>
        </w:tabs>
        <w:rPr>
          <w:rFonts w:asciiTheme="minorHAnsi" w:eastAsiaTheme="minorEastAsia" w:hAnsiTheme="minorHAnsi" w:cstheme="minorBidi"/>
          <w:b w:val="0"/>
          <w:bCs w:val="0"/>
          <w:caps w:val="0"/>
          <w:noProof/>
          <w:sz w:val="22"/>
          <w:szCs w:val="22"/>
        </w:rPr>
      </w:pPr>
      <w:hyperlink w:anchor="_Toc349832268" w:history="1">
        <w:r w:rsidR="00C17533" w:rsidRPr="00590B3C">
          <w:rPr>
            <w:rStyle w:val="Hiperhivatkozs"/>
            <w:rFonts w:ascii="Verdana" w:hAnsi="Verdana"/>
            <w:noProof/>
          </w:rPr>
          <w:t>I.</w:t>
        </w:r>
        <w:r w:rsidR="00C17533">
          <w:rPr>
            <w:rFonts w:asciiTheme="minorHAnsi" w:eastAsiaTheme="minorEastAsia" w:hAnsiTheme="minorHAnsi" w:cstheme="minorBidi"/>
            <w:b w:val="0"/>
            <w:bCs w:val="0"/>
            <w:caps w:val="0"/>
            <w:noProof/>
            <w:sz w:val="22"/>
            <w:szCs w:val="22"/>
          </w:rPr>
          <w:tab/>
        </w:r>
        <w:r w:rsidR="00C17533" w:rsidRPr="00590B3C">
          <w:rPr>
            <w:rStyle w:val="Hiperhivatkozs"/>
            <w:rFonts w:ascii="Verdana" w:hAnsi="Verdana"/>
            <w:noProof/>
          </w:rPr>
          <w:t>A befektetési alapra vonatkozó ALAPinformációk</w:t>
        </w:r>
        <w:r w:rsidR="00C17533">
          <w:rPr>
            <w:noProof/>
            <w:webHidden/>
          </w:rPr>
          <w:tab/>
        </w:r>
        <w:r w:rsidR="00C17533">
          <w:rPr>
            <w:noProof/>
            <w:webHidden/>
          </w:rPr>
          <w:fldChar w:fldCharType="begin"/>
        </w:r>
        <w:r w:rsidR="00C17533">
          <w:rPr>
            <w:noProof/>
            <w:webHidden/>
          </w:rPr>
          <w:instrText xml:space="preserve"> PAGEREF _Toc349832268 \h </w:instrText>
        </w:r>
        <w:r w:rsidR="00C17533">
          <w:rPr>
            <w:noProof/>
            <w:webHidden/>
          </w:rPr>
        </w:r>
        <w:r w:rsidR="00C17533">
          <w:rPr>
            <w:noProof/>
            <w:webHidden/>
          </w:rPr>
          <w:fldChar w:fldCharType="separate"/>
        </w:r>
        <w:r w:rsidR="00B455C4">
          <w:rPr>
            <w:noProof/>
            <w:webHidden/>
          </w:rPr>
          <w:t>7</w:t>
        </w:r>
        <w:r w:rsidR="00C17533">
          <w:rPr>
            <w:noProof/>
            <w:webHidden/>
          </w:rPr>
          <w:fldChar w:fldCharType="end"/>
        </w:r>
      </w:hyperlink>
    </w:p>
    <w:p w:rsidR="00C17533" w:rsidRDefault="006B6AC1">
      <w:pPr>
        <w:pStyle w:val="TJ2"/>
        <w:tabs>
          <w:tab w:val="left" w:pos="640"/>
          <w:tab w:val="right" w:leader="dot" w:pos="9061"/>
        </w:tabs>
        <w:rPr>
          <w:rFonts w:asciiTheme="minorHAnsi" w:eastAsiaTheme="minorEastAsia" w:hAnsiTheme="minorHAnsi" w:cstheme="minorBidi"/>
          <w:smallCaps w:val="0"/>
          <w:noProof/>
          <w:sz w:val="22"/>
          <w:szCs w:val="22"/>
        </w:rPr>
      </w:pPr>
      <w:hyperlink w:anchor="_Toc349832269" w:history="1">
        <w:r w:rsidR="00C17533" w:rsidRPr="00590B3C">
          <w:rPr>
            <w:rStyle w:val="Hiperhivatkozs"/>
            <w:noProof/>
          </w:rPr>
          <w:t>1.</w:t>
        </w:r>
        <w:r w:rsidR="00C17533">
          <w:rPr>
            <w:rFonts w:asciiTheme="minorHAnsi" w:eastAsiaTheme="minorEastAsia" w:hAnsiTheme="minorHAnsi" w:cstheme="minorBidi"/>
            <w:smallCaps w:val="0"/>
            <w:noProof/>
            <w:sz w:val="22"/>
            <w:szCs w:val="22"/>
          </w:rPr>
          <w:tab/>
        </w:r>
        <w:r w:rsidR="00C17533" w:rsidRPr="00590B3C">
          <w:rPr>
            <w:rStyle w:val="Hiperhivatkozs"/>
            <w:noProof/>
          </w:rPr>
          <w:t>A befektetési alap alapadatai</w:t>
        </w:r>
        <w:r w:rsidR="00C17533">
          <w:rPr>
            <w:noProof/>
            <w:webHidden/>
          </w:rPr>
          <w:tab/>
        </w:r>
        <w:r w:rsidR="00C17533">
          <w:rPr>
            <w:noProof/>
            <w:webHidden/>
          </w:rPr>
          <w:fldChar w:fldCharType="begin"/>
        </w:r>
        <w:r w:rsidR="00C17533">
          <w:rPr>
            <w:noProof/>
            <w:webHidden/>
          </w:rPr>
          <w:instrText xml:space="preserve"> PAGEREF _Toc349832269 \h </w:instrText>
        </w:r>
        <w:r w:rsidR="00C17533">
          <w:rPr>
            <w:noProof/>
            <w:webHidden/>
          </w:rPr>
        </w:r>
        <w:r w:rsidR="00C17533">
          <w:rPr>
            <w:noProof/>
            <w:webHidden/>
          </w:rPr>
          <w:fldChar w:fldCharType="separate"/>
        </w:r>
        <w:r w:rsidR="00B455C4">
          <w:rPr>
            <w:noProof/>
            <w:webHidden/>
          </w:rPr>
          <w:t>7</w:t>
        </w:r>
        <w:r w:rsidR="00C17533">
          <w:rPr>
            <w:noProof/>
            <w:webHidden/>
          </w:rPr>
          <w:fldChar w:fldCharType="end"/>
        </w:r>
      </w:hyperlink>
    </w:p>
    <w:p w:rsidR="00C17533" w:rsidRDefault="006B6AC1">
      <w:pPr>
        <w:pStyle w:val="TJ2"/>
        <w:tabs>
          <w:tab w:val="left" w:pos="800"/>
          <w:tab w:val="right" w:leader="dot" w:pos="9061"/>
        </w:tabs>
        <w:rPr>
          <w:rFonts w:asciiTheme="minorHAnsi" w:eastAsiaTheme="minorEastAsia" w:hAnsiTheme="minorHAnsi" w:cstheme="minorBidi"/>
          <w:smallCaps w:val="0"/>
          <w:noProof/>
          <w:sz w:val="22"/>
          <w:szCs w:val="22"/>
        </w:rPr>
      </w:pPr>
      <w:hyperlink w:anchor="_Toc349832270" w:history="1">
        <w:r w:rsidR="00C17533" w:rsidRPr="00590B3C">
          <w:rPr>
            <w:rStyle w:val="Hiperhivatkozs"/>
            <w:noProof/>
          </w:rPr>
          <w:t>1.1.</w:t>
        </w:r>
        <w:r w:rsidR="00C17533">
          <w:rPr>
            <w:rFonts w:asciiTheme="minorHAnsi" w:eastAsiaTheme="minorEastAsia" w:hAnsiTheme="minorHAnsi" w:cstheme="minorBidi"/>
            <w:smallCaps w:val="0"/>
            <w:noProof/>
            <w:sz w:val="22"/>
            <w:szCs w:val="22"/>
          </w:rPr>
          <w:tab/>
        </w:r>
        <w:r w:rsidR="00C17533" w:rsidRPr="00590B3C">
          <w:rPr>
            <w:rStyle w:val="Hiperhivatkozs"/>
            <w:noProof/>
          </w:rPr>
          <w:t>A befektetési alap neve:</w:t>
        </w:r>
        <w:r w:rsidR="00C17533">
          <w:rPr>
            <w:noProof/>
            <w:webHidden/>
          </w:rPr>
          <w:tab/>
        </w:r>
        <w:r w:rsidR="00C17533">
          <w:rPr>
            <w:noProof/>
            <w:webHidden/>
          </w:rPr>
          <w:fldChar w:fldCharType="begin"/>
        </w:r>
        <w:r w:rsidR="00C17533">
          <w:rPr>
            <w:noProof/>
            <w:webHidden/>
          </w:rPr>
          <w:instrText xml:space="preserve"> PAGEREF _Toc349832270 \h </w:instrText>
        </w:r>
        <w:r w:rsidR="00C17533">
          <w:rPr>
            <w:noProof/>
            <w:webHidden/>
          </w:rPr>
        </w:r>
        <w:r w:rsidR="00C17533">
          <w:rPr>
            <w:noProof/>
            <w:webHidden/>
          </w:rPr>
          <w:fldChar w:fldCharType="separate"/>
        </w:r>
        <w:r w:rsidR="00B455C4">
          <w:rPr>
            <w:noProof/>
            <w:webHidden/>
          </w:rPr>
          <w:t>7</w:t>
        </w:r>
        <w:r w:rsidR="00C17533">
          <w:rPr>
            <w:noProof/>
            <w:webHidden/>
          </w:rPr>
          <w:fldChar w:fldCharType="end"/>
        </w:r>
      </w:hyperlink>
    </w:p>
    <w:p w:rsidR="00C17533" w:rsidRDefault="006B6AC1">
      <w:pPr>
        <w:pStyle w:val="TJ2"/>
        <w:tabs>
          <w:tab w:val="left" w:pos="800"/>
          <w:tab w:val="right" w:leader="dot" w:pos="9061"/>
        </w:tabs>
        <w:rPr>
          <w:rFonts w:asciiTheme="minorHAnsi" w:eastAsiaTheme="minorEastAsia" w:hAnsiTheme="minorHAnsi" w:cstheme="minorBidi"/>
          <w:smallCaps w:val="0"/>
          <w:noProof/>
          <w:sz w:val="22"/>
          <w:szCs w:val="22"/>
        </w:rPr>
      </w:pPr>
      <w:hyperlink w:anchor="_Toc349832271" w:history="1">
        <w:r w:rsidR="00C17533" w:rsidRPr="00590B3C">
          <w:rPr>
            <w:rStyle w:val="Hiperhivatkozs"/>
            <w:noProof/>
          </w:rPr>
          <w:t>1.2.</w:t>
        </w:r>
        <w:r w:rsidR="00C17533">
          <w:rPr>
            <w:rFonts w:asciiTheme="minorHAnsi" w:eastAsiaTheme="minorEastAsia" w:hAnsiTheme="minorHAnsi" w:cstheme="minorBidi"/>
            <w:smallCaps w:val="0"/>
            <w:noProof/>
            <w:sz w:val="22"/>
            <w:szCs w:val="22"/>
          </w:rPr>
          <w:tab/>
        </w:r>
        <w:r w:rsidR="00C17533" w:rsidRPr="00590B3C">
          <w:rPr>
            <w:rStyle w:val="Hiperhivatkozs"/>
            <w:noProof/>
          </w:rPr>
          <w:t>A befektetési alap rövid neve:</w:t>
        </w:r>
        <w:r w:rsidR="00C17533">
          <w:rPr>
            <w:noProof/>
            <w:webHidden/>
          </w:rPr>
          <w:tab/>
        </w:r>
        <w:r w:rsidR="00C17533">
          <w:rPr>
            <w:noProof/>
            <w:webHidden/>
          </w:rPr>
          <w:fldChar w:fldCharType="begin"/>
        </w:r>
        <w:r w:rsidR="00C17533">
          <w:rPr>
            <w:noProof/>
            <w:webHidden/>
          </w:rPr>
          <w:instrText xml:space="preserve"> PAGEREF _Toc349832271 \h </w:instrText>
        </w:r>
        <w:r w:rsidR="00C17533">
          <w:rPr>
            <w:noProof/>
            <w:webHidden/>
          </w:rPr>
        </w:r>
        <w:r w:rsidR="00C17533">
          <w:rPr>
            <w:noProof/>
            <w:webHidden/>
          </w:rPr>
          <w:fldChar w:fldCharType="separate"/>
        </w:r>
        <w:r w:rsidR="00B455C4">
          <w:rPr>
            <w:noProof/>
            <w:webHidden/>
          </w:rPr>
          <w:t>7</w:t>
        </w:r>
        <w:r w:rsidR="00C17533">
          <w:rPr>
            <w:noProof/>
            <w:webHidden/>
          </w:rPr>
          <w:fldChar w:fldCharType="end"/>
        </w:r>
      </w:hyperlink>
    </w:p>
    <w:p w:rsidR="00C17533" w:rsidRDefault="006B6AC1">
      <w:pPr>
        <w:pStyle w:val="TJ2"/>
        <w:tabs>
          <w:tab w:val="left" w:pos="800"/>
          <w:tab w:val="right" w:leader="dot" w:pos="9061"/>
        </w:tabs>
        <w:rPr>
          <w:rFonts w:asciiTheme="minorHAnsi" w:eastAsiaTheme="minorEastAsia" w:hAnsiTheme="minorHAnsi" w:cstheme="minorBidi"/>
          <w:smallCaps w:val="0"/>
          <w:noProof/>
          <w:sz w:val="22"/>
          <w:szCs w:val="22"/>
        </w:rPr>
      </w:pPr>
      <w:hyperlink w:anchor="_Toc349832272" w:history="1">
        <w:r w:rsidR="00C17533" w:rsidRPr="00590B3C">
          <w:rPr>
            <w:rStyle w:val="Hiperhivatkozs"/>
            <w:noProof/>
          </w:rPr>
          <w:t>1.3.</w:t>
        </w:r>
        <w:r w:rsidR="00C17533">
          <w:rPr>
            <w:rFonts w:asciiTheme="minorHAnsi" w:eastAsiaTheme="minorEastAsia" w:hAnsiTheme="minorHAnsi" w:cstheme="minorBidi"/>
            <w:smallCaps w:val="0"/>
            <w:noProof/>
            <w:sz w:val="22"/>
            <w:szCs w:val="22"/>
          </w:rPr>
          <w:tab/>
        </w:r>
        <w:r w:rsidR="00C17533" w:rsidRPr="00590B3C">
          <w:rPr>
            <w:rStyle w:val="Hiperhivatkozs"/>
            <w:noProof/>
          </w:rPr>
          <w:t>A befektetési alap székhelye:</w:t>
        </w:r>
        <w:r w:rsidR="00C17533">
          <w:rPr>
            <w:noProof/>
            <w:webHidden/>
          </w:rPr>
          <w:tab/>
        </w:r>
        <w:r w:rsidR="00C17533">
          <w:rPr>
            <w:noProof/>
            <w:webHidden/>
          </w:rPr>
          <w:fldChar w:fldCharType="begin"/>
        </w:r>
        <w:r w:rsidR="00C17533">
          <w:rPr>
            <w:noProof/>
            <w:webHidden/>
          </w:rPr>
          <w:instrText xml:space="preserve"> PAGEREF _Toc349832272 \h </w:instrText>
        </w:r>
        <w:r w:rsidR="00C17533">
          <w:rPr>
            <w:noProof/>
            <w:webHidden/>
          </w:rPr>
        </w:r>
        <w:r w:rsidR="00C17533">
          <w:rPr>
            <w:noProof/>
            <w:webHidden/>
          </w:rPr>
          <w:fldChar w:fldCharType="separate"/>
        </w:r>
        <w:r w:rsidR="00B455C4">
          <w:rPr>
            <w:noProof/>
            <w:webHidden/>
          </w:rPr>
          <w:t>7</w:t>
        </w:r>
        <w:r w:rsidR="00C17533">
          <w:rPr>
            <w:noProof/>
            <w:webHidden/>
          </w:rPr>
          <w:fldChar w:fldCharType="end"/>
        </w:r>
      </w:hyperlink>
    </w:p>
    <w:p w:rsidR="00C17533" w:rsidRDefault="006B6AC1">
      <w:pPr>
        <w:pStyle w:val="TJ2"/>
        <w:tabs>
          <w:tab w:val="left" w:pos="800"/>
          <w:tab w:val="right" w:leader="dot" w:pos="9061"/>
        </w:tabs>
        <w:rPr>
          <w:rFonts w:asciiTheme="minorHAnsi" w:eastAsiaTheme="minorEastAsia" w:hAnsiTheme="minorHAnsi" w:cstheme="minorBidi"/>
          <w:smallCaps w:val="0"/>
          <w:noProof/>
          <w:sz w:val="22"/>
          <w:szCs w:val="22"/>
        </w:rPr>
      </w:pPr>
      <w:hyperlink w:anchor="_Toc349832273" w:history="1">
        <w:r w:rsidR="00C17533" w:rsidRPr="00590B3C">
          <w:rPr>
            <w:rStyle w:val="Hiperhivatkozs"/>
            <w:noProof/>
          </w:rPr>
          <w:t>1.4.</w:t>
        </w:r>
        <w:r w:rsidR="00C17533">
          <w:rPr>
            <w:rFonts w:asciiTheme="minorHAnsi" w:eastAsiaTheme="minorEastAsia" w:hAnsiTheme="minorHAnsi" w:cstheme="minorBidi"/>
            <w:smallCaps w:val="0"/>
            <w:noProof/>
            <w:sz w:val="22"/>
            <w:szCs w:val="22"/>
          </w:rPr>
          <w:tab/>
        </w:r>
        <w:r w:rsidR="00C17533" w:rsidRPr="00590B3C">
          <w:rPr>
            <w:rStyle w:val="Hiperhivatkozs"/>
            <w:noProof/>
          </w:rPr>
          <w:t>A befektetési alap nyilvántartásba vételének időpontja, nyilvántartási száma:</w:t>
        </w:r>
        <w:r w:rsidR="00C17533">
          <w:rPr>
            <w:noProof/>
            <w:webHidden/>
          </w:rPr>
          <w:tab/>
        </w:r>
        <w:r w:rsidR="00C17533">
          <w:rPr>
            <w:noProof/>
            <w:webHidden/>
          </w:rPr>
          <w:fldChar w:fldCharType="begin"/>
        </w:r>
        <w:r w:rsidR="00C17533">
          <w:rPr>
            <w:noProof/>
            <w:webHidden/>
          </w:rPr>
          <w:instrText xml:space="preserve"> PAGEREF _Toc349832273 \h </w:instrText>
        </w:r>
        <w:r w:rsidR="00C17533">
          <w:rPr>
            <w:noProof/>
            <w:webHidden/>
          </w:rPr>
        </w:r>
        <w:r w:rsidR="00C17533">
          <w:rPr>
            <w:noProof/>
            <w:webHidden/>
          </w:rPr>
          <w:fldChar w:fldCharType="separate"/>
        </w:r>
        <w:r w:rsidR="00B455C4">
          <w:rPr>
            <w:noProof/>
            <w:webHidden/>
          </w:rPr>
          <w:t>7</w:t>
        </w:r>
        <w:r w:rsidR="00C17533">
          <w:rPr>
            <w:noProof/>
            <w:webHidden/>
          </w:rPr>
          <w:fldChar w:fldCharType="end"/>
        </w:r>
      </w:hyperlink>
    </w:p>
    <w:p w:rsidR="00C17533" w:rsidRDefault="006B6AC1">
      <w:pPr>
        <w:pStyle w:val="TJ2"/>
        <w:tabs>
          <w:tab w:val="left" w:pos="800"/>
          <w:tab w:val="right" w:leader="dot" w:pos="9061"/>
        </w:tabs>
        <w:rPr>
          <w:rFonts w:asciiTheme="minorHAnsi" w:eastAsiaTheme="minorEastAsia" w:hAnsiTheme="minorHAnsi" w:cstheme="minorBidi"/>
          <w:smallCaps w:val="0"/>
          <w:noProof/>
          <w:sz w:val="22"/>
          <w:szCs w:val="22"/>
        </w:rPr>
      </w:pPr>
      <w:hyperlink w:anchor="_Toc349832274" w:history="1">
        <w:r w:rsidR="00C17533" w:rsidRPr="00590B3C">
          <w:rPr>
            <w:rStyle w:val="Hiperhivatkozs"/>
            <w:noProof/>
          </w:rPr>
          <w:t>1.5.</w:t>
        </w:r>
        <w:r w:rsidR="00C17533">
          <w:rPr>
            <w:rFonts w:asciiTheme="minorHAnsi" w:eastAsiaTheme="minorEastAsia" w:hAnsiTheme="minorHAnsi" w:cstheme="minorBidi"/>
            <w:smallCaps w:val="0"/>
            <w:noProof/>
            <w:sz w:val="22"/>
            <w:szCs w:val="22"/>
          </w:rPr>
          <w:tab/>
        </w:r>
        <w:r w:rsidR="00C17533" w:rsidRPr="00590B3C">
          <w:rPr>
            <w:rStyle w:val="Hiperhivatkozs"/>
            <w:noProof/>
          </w:rPr>
          <w:t>A befektetési alapkezelő neve:</w:t>
        </w:r>
        <w:r w:rsidR="00C17533">
          <w:rPr>
            <w:noProof/>
            <w:webHidden/>
          </w:rPr>
          <w:tab/>
        </w:r>
        <w:r w:rsidR="00C17533">
          <w:rPr>
            <w:noProof/>
            <w:webHidden/>
          </w:rPr>
          <w:fldChar w:fldCharType="begin"/>
        </w:r>
        <w:r w:rsidR="00C17533">
          <w:rPr>
            <w:noProof/>
            <w:webHidden/>
          </w:rPr>
          <w:instrText xml:space="preserve"> PAGEREF _Toc349832274 \h </w:instrText>
        </w:r>
        <w:r w:rsidR="00C17533">
          <w:rPr>
            <w:noProof/>
            <w:webHidden/>
          </w:rPr>
        </w:r>
        <w:r w:rsidR="00C17533">
          <w:rPr>
            <w:noProof/>
            <w:webHidden/>
          </w:rPr>
          <w:fldChar w:fldCharType="separate"/>
        </w:r>
        <w:r w:rsidR="00B455C4">
          <w:rPr>
            <w:noProof/>
            <w:webHidden/>
          </w:rPr>
          <w:t>7</w:t>
        </w:r>
        <w:r w:rsidR="00C17533">
          <w:rPr>
            <w:noProof/>
            <w:webHidden/>
          </w:rPr>
          <w:fldChar w:fldCharType="end"/>
        </w:r>
      </w:hyperlink>
    </w:p>
    <w:p w:rsidR="00C17533" w:rsidRDefault="006B6AC1">
      <w:pPr>
        <w:pStyle w:val="TJ2"/>
        <w:tabs>
          <w:tab w:val="left" w:pos="800"/>
          <w:tab w:val="right" w:leader="dot" w:pos="9061"/>
        </w:tabs>
        <w:rPr>
          <w:rFonts w:asciiTheme="minorHAnsi" w:eastAsiaTheme="minorEastAsia" w:hAnsiTheme="minorHAnsi" w:cstheme="minorBidi"/>
          <w:smallCaps w:val="0"/>
          <w:noProof/>
          <w:sz w:val="22"/>
          <w:szCs w:val="22"/>
        </w:rPr>
      </w:pPr>
      <w:hyperlink w:anchor="_Toc349832275" w:history="1">
        <w:r w:rsidR="00C17533" w:rsidRPr="00590B3C">
          <w:rPr>
            <w:rStyle w:val="Hiperhivatkozs"/>
            <w:noProof/>
          </w:rPr>
          <w:t>1.6.</w:t>
        </w:r>
        <w:r w:rsidR="00C17533">
          <w:rPr>
            <w:rFonts w:asciiTheme="minorHAnsi" w:eastAsiaTheme="minorEastAsia" w:hAnsiTheme="minorHAnsi" w:cstheme="minorBidi"/>
            <w:smallCaps w:val="0"/>
            <w:noProof/>
            <w:sz w:val="22"/>
            <w:szCs w:val="22"/>
          </w:rPr>
          <w:tab/>
        </w:r>
        <w:r w:rsidR="00C17533" w:rsidRPr="00590B3C">
          <w:rPr>
            <w:rStyle w:val="Hiperhivatkozs"/>
            <w:noProof/>
          </w:rPr>
          <w:t>A letétkezelő neve:</w:t>
        </w:r>
        <w:r w:rsidR="00C17533">
          <w:rPr>
            <w:noProof/>
            <w:webHidden/>
          </w:rPr>
          <w:tab/>
        </w:r>
        <w:r w:rsidR="00C17533">
          <w:rPr>
            <w:noProof/>
            <w:webHidden/>
          </w:rPr>
          <w:fldChar w:fldCharType="begin"/>
        </w:r>
        <w:r w:rsidR="00C17533">
          <w:rPr>
            <w:noProof/>
            <w:webHidden/>
          </w:rPr>
          <w:instrText xml:space="preserve"> PAGEREF _Toc349832275 \h </w:instrText>
        </w:r>
        <w:r w:rsidR="00C17533">
          <w:rPr>
            <w:noProof/>
            <w:webHidden/>
          </w:rPr>
        </w:r>
        <w:r w:rsidR="00C17533">
          <w:rPr>
            <w:noProof/>
            <w:webHidden/>
          </w:rPr>
          <w:fldChar w:fldCharType="separate"/>
        </w:r>
        <w:r w:rsidR="00B455C4">
          <w:rPr>
            <w:noProof/>
            <w:webHidden/>
          </w:rPr>
          <w:t>7</w:t>
        </w:r>
        <w:r w:rsidR="00C17533">
          <w:rPr>
            <w:noProof/>
            <w:webHidden/>
          </w:rPr>
          <w:fldChar w:fldCharType="end"/>
        </w:r>
      </w:hyperlink>
    </w:p>
    <w:p w:rsidR="00C17533" w:rsidRDefault="006B6AC1">
      <w:pPr>
        <w:pStyle w:val="TJ2"/>
        <w:tabs>
          <w:tab w:val="left" w:pos="800"/>
          <w:tab w:val="right" w:leader="dot" w:pos="9061"/>
        </w:tabs>
        <w:rPr>
          <w:rFonts w:asciiTheme="minorHAnsi" w:eastAsiaTheme="minorEastAsia" w:hAnsiTheme="minorHAnsi" w:cstheme="minorBidi"/>
          <w:smallCaps w:val="0"/>
          <w:noProof/>
          <w:sz w:val="22"/>
          <w:szCs w:val="22"/>
        </w:rPr>
      </w:pPr>
      <w:hyperlink w:anchor="_Toc349832276" w:history="1">
        <w:r w:rsidR="00C17533" w:rsidRPr="00590B3C">
          <w:rPr>
            <w:rStyle w:val="Hiperhivatkozs"/>
            <w:noProof/>
          </w:rPr>
          <w:t>1.7.</w:t>
        </w:r>
        <w:r w:rsidR="00C17533">
          <w:rPr>
            <w:rFonts w:asciiTheme="minorHAnsi" w:eastAsiaTheme="minorEastAsia" w:hAnsiTheme="minorHAnsi" w:cstheme="minorBidi"/>
            <w:smallCaps w:val="0"/>
            <w:noProof/>
            <w:sz w:val="22"/>
            <w:szCs w:val="22"/>
          </w:rPr>
          <w:tab/>
        </w:r>
        <w:r w:rsidR="00C17533" w:rsidRPr="00590B3C">
          <w:rPr>
            <w:rStyle w:val="Hiperhivatkozs"/>
            <w:noProof/>
          </w:rPr>
          <w:t>A forgalmazó neve:</w:t>
        </w:r>
        <w:r w:rsidR="00C17533">
          <w:rPr>
            <w:noProof/>
            <w:webHidden/>
          </w:rPr>
          <w:tab/>
        </w:r>
        <w:r w:rsidR="00C17533">
          <w:rPr>
            <w:noProof/>
            <w:webHidden/>
          </w:rPr>
          <w:fldChar w:fldCharType="begin"/>
        </w:r>
        <w:r w:rsidR="00C17533">
          <w:rPr>
            <w:noProof/>
            <w:webHidden/>
          </w:rPr>
          <w:instrText xml:space="preserve"> PAGEREF _Toc349832276 \h </w:instrText>
        </w:r>
        <w:r w:rsidR="00C17533">
          <w:rPr>
            <w:noProof/>
            <w:webHidden/>
          </w:rPr>
        </w:r>
        <w:r w:rsidR="00C17533">
          <w:rPr>
            <w:noProof/>
            <w:webHidden/>
          </w:rPr>
          <w:fldChar w:fldCharType="separate"/>
        </w:r>
        <w:r w:rsidR="00B455C4">
          <w:rPr>
            <w:noProof/>
            <w:webHidden/>
          </w:rPr>
          <w:t>7</w:t>
        </w:r>
        <w:r w:rsidR="00C17533">
          <w:rPr>
            <w:noProof/>
            <w:webHidden/>
          </w:rPr>
          <w:fldChar w:fldCharType="end"/>
        </w:r>
      </w:hyperlink>
    </w:p>
    <w:p w:rsidR="00C17533" w:rsidRDefault="006B6AC1">
      <w:pPr>
        <w:pStyle w:val="TJ2"/>
        <w:tabs>
          <w:tab w:val="left" w:pos="800"/>
          <w:tab w:val="right" w:leader="dot" w:pos="9061"/>
        </w:tabs>
        <w:rPr>
          <w:rFonts w:asciiTheme="minorHAnsi" w:eastAsiaTheme="minorEastAsia" w:hAnsiTheme="minorHAnsi" w:cstheme="minorBidi"/>
          <w:smallCaps w:val="0"/>
          <w:noProof/>
          <w:sz w:val="22"/>
          <w:szCs w:val="22"/>
        </w:rPr>
      </w:pPr>
      <w:hyperlink w:anchor="_Toc349832277" w:history="1">
        <w:r w:rsidR="00C17533" w:rsidRPr="00590B3C">
          <w:rPr>
            <w:rStyle w:val="Hiperhivatkozs"/>
            <w:noProof/>
          </w:rPr>
          <w:t>1.8.</w:t>
        </w:r>
        <w:r w:rsidR="00C17533">
          <w:rPr>
            <w:rFonts w:asciiTheme="minorHAnsi" w:eastAsiaTheme="minorEastAsia" w:hAnsiTheme="minorHAnsi" w:cstheme="minorBidi"/>
            <w:smallCaps w:val="0"/>
            <w:noProof/>
            <w:sz w:val="22"/>
            <w:szCs w:val="22"/>
          </w:rPr>
          <w:tab/>
        </w:r>
        <w:r w:rsidR="00C17533" w:rsidRPr="00590B3C">
          <w:rPr>
            <w:rStyle w:val="Hiperhivatkozs"/>
            <w:noProof/>
          </w:rPr>
          <w:t>A befektetési alap működési formája (zártkörű vagy nyilvános):</w:t>
        </w:r>
        <w:r w:rsidR="00C17533">
          <w:rPr>
            <w:noProof/>
            <w:webHidden/>
          </w:rPr>
          <w:tab/>
        </w:r>
        <w:r w:rsidR="00C17533">
          <w:rPr>
            <w:noProof/>
            <w:webHidden/>
          </w:rPr>
          <w:fldChar w:fldCharType="begin"/>
        </w:r>
        <w:r w:rsidR="00C17533">
          <w:rPr>
            <w:noProof/>
            <w:webHidden/>
          </w:rPr>
          <w:instrText xml:space="preserve"> PAGEREF _Toc349832277 \h </w:instrText>
        </w:r>
        <w:r w:rsidR="00C17533">
          <w:rPr>
            <w:noProof/>
            <w:webHidden/>
          </w:rPr>
        </w:r>
        <w:r w:rsidR="00C17533">
          <w:rPr>
            <w:noProof/>
            <w:webHidden/>
          </w:rPr>
          <w:fldChar w:fldCharType="separate"/>
        </w:r>
        <w:r w:rsidR="00B455C4">
          <w:rPr>
            <w:noProof/>
            <w:webHidden/>
          </w:rPr>
          <w:t>7</w:t>
        </w:r>
        <w:r w:rsidR="00C17533">
          <w:rPr>
            <w:noProof/>
            <w:webHidden/>
          </w:rPr>
          <w:fldChar w:fldCharType="end"/>
        </w:r>
      </w:hyperlink>
    </w:p>
    <w:p w:rsidR="00C17533" w:rsidRDefault="006B6AC1">
      <w:pPr>
        <w:pStyle w:val="TJ2"/>
        <w:tabs>
          <w:tab w:val="left" w:pos="800"/>
          <w:tab w:val="right" w:leader="dot" w:pos="9061"/>
        </w:tabs>
        <w:rPr>
          <w:rFonts w:asciiTheme="minorHAnsi" w:eastAsiaTheme="minorEastAsia" w:hAnsiTheme="minorHAnsi" w:cstheme="minorBidi"/>
          <w:smallCaps w:val="0"/>
          <w:noProof/>
          <w:sz w:val="22"/>
          <w:szCs w:val="22"/>
        </w:rPr>
      </w:pPr>
      <w:hyperlink w:anchor="_Toc349832278" w:history="1">
        <w:r w:rsidR="00C17533" w:rsidRPr="00590B3C">
          <w:rPr>
            <w:rStyle w:val="Hiperhivatkozs"/>
            <w:noProof/>
          </w:rPr>
          <w:t>1.9.</w:t>
        </w:r>
        <w:r w:rsidR="00C17533">
          <w:rPr>
            <w:rFonts w:asciiTheme="minorHAnsi" w:eastAsiaTheme="minorEastAsia" w:hAnsiTheme="minorHAnsi" w:cstheme="minorBidi"/>
            <w:smallCaps w:val="0"/>
            <w:noProof/>
            <w:sz w:val="22"/>
            <w:szCs w:val="22"/>
          </w:rPr>
          <w:tab/>
        </w:r>
        <w:r w:rsidR="00C17533" w:rsidRPr="00590B3C">
          <w:rPr>
            <w:rStyle w:val="Hiperhivatkozs"/>
            <w:noProof/>
          </w:rPr>
          <w:t>A befektetési alap fajtája (nyíltvégű vagy zártvégű):</w:t>
        </w:r>
        <w:r w:rsidR="00C17533">
          <w:rPr>
            <w:noProof/>
            <w:webHidden/>
          </w:rPr>
          <w:tab/>
        </w:r>
        <w:r w:rsidR="00C17533">
          <w:rPr>
            <w:noProof/>
            <w:webHidden/>
          </w:rPr>
          <w:fldChar w:fldCharType="begin"/>
        </w:r>
        <w:r w:rsidR="00C17533">
          <w:rPr>
            <w:noProof/>
            <w:webHidden/>
          </w:rPr>
          <w:instrText xml:space="preserve"> PAGEREF _Toc349832278 \h </w:instrText>
        </w:r>
        <w:r w:rsidR="00C17533">
          <w:rPr>
            <w:noProof/>
            <w:webHidden/>
          </w:rPr>
        </w:r>
        <w:r w:rsidR="00C17533">
          <w:rPr>
            <w:noProof/>
            <w:webHidden/>
          </w:rPr>
          <w:fldChar w:fldCharType="separate"/>
        </w:r>
        <w:r w:rsidR="00B455C4">
          <w:rPr>
            <w:noProof/>
            <w:webHidden/>
          </w:rPr>
          <w:t>7</w:t>
        </w:r>
        <w:r w:rsidR="00C17533">
          <w:rPr>
            <w:noProof/>
            <w:webHidden/>
          </w:rPr>
          <w:fldChar w:fldCharType="end"/>
        </w:r>
      </w:hyperlink>
    </w:p>
    <w:p w:rsidR="00C17533" w:rsidRDefault="006B6AC1">
      <w:pPr>
        <w:pStyle w:val="TJ2"/>
        <w:tabs>
          <w:tab w:val="left" w:pos="800"/>
          <w:tab w:val="right" w:leader="dot" w:pos="9061"/>
        </w:tabs>
        <w:rPr>
          <w:rFonts w:asciiTheme="minorHAnsi" w:eastAsiaTheme="minorEastAsia" w:hAnsiTheme="minorHAnsi" w:cstheme="minorBidi"/>
          <w:smallCaps w:val="0"/>
          <w:noProof/>
          <w:sz w:val="22"/>
          <w:szCs w:val="22"/>
        </w:rPr>
      </w:pPr>
      <w:hyperlink w:anchor="_Toc349832279" w:history="1">
        <w:r w:rsidR="00C17533" w:rsidRPr="00590B3C">
          <w:rPr>
            <w:rStyle w:val="Hiperhivatkozs"/>
            <w:noProof/>
          </w:rPr>
          <w:t>1.10.</w:t>
        </w:r>
        <w:r w:rsidR="00C17533">
          <w:rPr>
            <w:rFonts w:asciiTheme="minorHAnsi" w:eastAsiaTheme="minorEastAsia" w:hAnsiTheme="minorHAnsi" w:cstheme="minorBidi"/>
            <w:smallCaps w:val="0"/>
            <w:noProof/>
            <w:sz w:val="22"/>
            <w:szCs w:val="22"/>
          </w:rPr>
          <w:tab/>
        </w:r>
        <w:r w:rsidR="00C17533" w:rsidRPr="00590B3C">
          <w:rPr>
            <w:rStyle w:val="Hiperhivatkozs"/>
            <w:noProof/>
          </w:rPr>
          <w:t>A befektetési alap futamideje (határozatlan vagy határozott), határozott futamidő esetén a futamidő lejáratának feltüntetése:</w:t>
        </w:r>
        <w:r w:rsidR="00C17533">
          <w:rPr>
            <w:noProof/>
            <w:webHidden/>
          </w:rPr>
          <w:tab/>
        </w:r>
        <w:r w:rsidR="00C17533">
          <w:rPr>
            <w:noProof/>
            <w:webHidden/>
          </w:rPr>
          <w:fldChar w:fldCharType="begin"/>
        </w:r>
        <w:r w:rsidR="00C17533">
          <w:rPr>
            <w:noProof/>
            <w:webHidden/>
          </w:rPr>
          <w:instrText xml:space="preserve"> PAGEREF _Toc349832279 \h </w:instrText>
        </w:r>
        <w:r w:rsidR="00C17533">
          <w:rPr>
            <w:noProof/>
            <w:webHidden/>
          </w:rPr>
        </w:r>
        <w:r w:rsidR="00C17533">
          <w:rPr>
            <w:noProof/>
            <w:webHidden/>
          </w:rPr>
          <w:fldChar w:fldCharType="separate"/>
        </w:r>
        <w:r w:rsidR="00B455C4">
          <w:rPr>
            <w:noProof/>
            <w:webHidden/>
          </w:rPr>
          <w:t>7</w:t>
        </w:r>
        <w:r w:rsidR="00C17533">
          <w:rPr>
            <w:noProof/>
            <w:webHidden/>
          </w:rPr>
          <w:fldChar w:fldCharType="end"/>
        </w:r>
      </w:hyperlink>
    </w:p>
    <w:p w:rsidR="00C17533" w:rsidRDefault="006B6AC1">
      <w:pPr>
        <w:pStyle w:val="TJ2"/>
        <w:tabs>
          <w:tab w:val="left" w:pos="800"/>
          <w:tab w:val="right" w:leader="dot" w:pos="9061"/>
        </w:tabs>
        <w:rPr>
          <w:rFonts w:asciiTheme="minorHAnsi" w:eastAsiaTheme="minorEastAsia" w:hAnsiTheme="minorHAnsi" w:cstheme="minorBidi"/>
          <w:smallCaps w:val="0"/>
          <w:noProof/>
          <w:sz w:val="22"/>
          <w:szCs w:val="22"/>
        </w:rPr>
      </w:pPr>
      <w:hyperlink w:anchor="_Toc349832280" w:history="1">
        <w:r w:rsidR="00C17533" w:rsidRPr="00590B3C">
          <w:rPr>
            <w:rStyle w:val="Hiperhivatkozs"/>
            <w:noProof/>
          </w:rPr>
          <w:t>1.11.</w:t>
        </w:r>
        <w:r w:rsidR="00C17533">
          <w:rPr>
            <w:rFonts w:asciiTheme="minorHAnsi" w:eastAsiaTheme="minorEastAsia" w:hAnsiTheme="minorHAnsi" w:cstheme="minorBidi"/>
            <w:smallCaps w:val="0"/>
            <w:noProof/>
            <w:sz w:val="22"/>
            <w:szCs w:val="22"/>
          </w:rPr>
          <w:tab/>
        </w:r>
        <w:r w:rsidR="00C17533" w:rsidRPr="00590B3C">
          <w:rPr>
            <w:rStyle w:val="Hiperhivatkozs"/>
            <w:noProof/>
          </w:rPr>
          <w:t>Annak feltüntetése, ha a befektetési alap ÁÉKBV-irányelv alapján harmonizált alap:</w:t>
        </w:r>
        <w:r w:rsidR="00C17533">
          <w:rPr>
            <w:noProof/>
            <w:webHidden/>
          </w:rPr>
          <w:tab/>
        </w:r>
        <w:r w:rsidR="00C17533">
          <w:rPr>
            <w:noProof/>
            <w:webHidden/>
          </w:rPr>
          <w:fldChar w:fldCharType="begin"/>
        </w:r>
        <w:r w:rsidR="00C17533">
          <w:rPr>
            <w:noProof/>
            <w:webHidden/>
          </w:rPr>
          <w:instrText xml:space="preserve"> PAGEREF _Toc349832280 \h </w:instrText>
        </w:r>
        <w:r w:rsidR="00C17533">
          <w:rPr>
            <w:noProof/>
            <w:webHidden/>
          </w:rPr>
        </w:r>
        <w:r w:rsidR="00C17533">
          <w:rPr>
            <w:noProof/>
            <w:webHidden/>
          </w:rPr>
          <w:fldChar w:fldCharType="separate"/>
        </w:r>
        <w:r w:rsidR="00B455C4">
          <w:rPr>
            <w:noProof/>
            <w:webHidden/>
          </w:rPr>
          <w:t>7</w:t>
        </w:r>
        <w:r w:rsidR="00C17533">
          <w:rPr>
            <w:noProof/>
            <w:webHidden/>
          </w:rPr>
          <w:fldChar w:fldCharType="end"/>
        </w:r>
      </w:hyperlink>
    </w:p>
    <w:p w:rsidR="00C17533" w:rsidRDefault="006B6AC1">
      <w:pPr>
        <w:pStyle w:val="TJ2"/>
        <w:tabs>
          <w:tab w:val="left" w:pos="800"/>
          <w:tab w:val="right" w:leader="dot" w:pos="9061"/>
        </w:tabs>
        <w:rPr>
          <w:rFonts w:asciiTheme="minorHAnsi" w:eastAsiaTheme="minorEastAsia" w:hAnsiTheme="minorHAnsi" w:cstheme="minorBidi"/>
          <w:smallCaps w:val="0"/>
          <w:noProof/>
          <w:sz w:val="22"/>
          <w:szCs w:val="22"/>
        </w:rPr>
      </w:pPr>
      <w:hyperlink w:anchor="_Toc349832281" w:history="1">
        <w:r w:rsidR="00C17533" w:rsidRPr="00590B3C">
          <w:rPr>
            <w:rStyle w:val="Hiperhivatkozs"/>
            <w:noProof/>
          </w:rPr>
          <w:t>1.12.</w:t>
        </w:r>
        <w:r w:rsidR="00C17533">
          <w:rPr>
            <w:rFonts w:asciiTheme="minorHAnsi" w:eastAsiaTheme="minorEastAsia" w:hAnsiTheme="minorHAnsi" w:cstheme="minorBidi"/>
            <w:smallCaps w:val="0"/>
            <w:noProof/>
            <w:sz w:val="22"/>
            <w:szCs w:val="22"/>
          </w:rPr>
          <w:tab/>
        </w:r>
        <w:r w:rsidR="00C17533" w:rsidRPr="00590B3C">
          <w:rPr>
            <w:rStyle w:val="Hiperhivatkozs"/>
            <w:noProof/>
          </w:rPr>
          <w:t>A befektetési alap által kibocsátott sorozatok száma, jelölése, annak feltüntetése, hogy az egyes sorozatok milyen jellemzőkben térnek el egymástól:</w:t>
        </w:r>
        <w:r w:rsidR="00C17533">
          <w:rPr>
            <w:noProof/>
            <w:webHidden/>
          </w:rPr>
          <w:tab/>
        </w:r>
        <w:r w:rsidR="00C17533">
          <w:rPr>
            <w:noProof/>
            <w:webHidden/>
          </w:rPr>
          <w:fldChar w:fldCharType="begin"/>
        </w:r>
        <w:r w:rsidR="00C17533">
          <w:rPr>
            <w:noProof/>
            <w:webHidden/>
          </w:rPr>
          <w:instrText xml:space="preserve"> PAGEREF _Toc349832281 \h </w:instrText>
        </w:r>
        <w:r w:rsidR="00C17533">
          <w:rPr>
            <w:noProof/>
            <w:webHidden/>
          </w:rPr>
        </w:r>
        <w:r w:rsidR="00C17533">
          <w:rPr>
            <w:noProof/>
            <w:webHidden/>
          </w:rPr>
          <w:fldChar w:fldCharType="separate"/>
        </w:r>
        <w:r w:rsidR="00B455C4">
          <w:rPr>
            <w:noProof/>
            <w:webHidden/>
          </w:rPr>
          <w:t>7</w:t>
        </w:r>
        <w:r w:rsidR="00C17533">
          <w:rPr>
            <w:noProof/>
            <w:webHidden/>
          </w:rPr>
          <w:fldChar w:fldCharType="end"/>
        </w:r>
      </w:hyperlink>
    </w:p>
    <w:p w:rsidR="00C17533" w:rsidRDefault="006B6AC1">
      <w:pPr>
        <w:pStyle w:val="TJ2"/>
        <w:tabs>
          <w:tab w:val="left" w:pos="800"/>
          <w:tab w:val="right" w:leader="dot" w:pos="9061"/>
        </w:tabs>
        <w:rPr>
          <w:rFonts w:asciiTheme="minorHAnsi" w:eastAsiaTheme="minorEastAsia" w:hAnsiTheme="minorHAnsi" w:cstheme="minorBidi"/>
          <w:smallCaps w:val="0"/>
          <w:noProof/>
          <w:sz w:val="22"/>
          <w:szCs w:val="22"/>
        </w:rPr>
      </w:pPr>
      <w:hyperlink w:anchor="_Toc349832282" w:history="1">
        <w:r w:rsidR="00C17533" w:rsidRPr="00590B3C">
          <w:rPr>
            <w:rStyle w:val="Hiperhivatkozs"/>
            <w:noProof/>
          </w:rPr>
          <w:t>1.13.</w:t>
        </w:r>
        <w:r w:rsidR="00C17533">
          <w:rPr>
            <w:rFonts w:asciiTheme="minorHAnsi" w:eastAsiaTheme="minorEastAsia" w:hAnsiTheme="minorHAnsi" w:cstheme="minorBidi"/>
            <w:smallCaps w:val="0"/>
            <w:noProof/>
            <w:sz w:val="22"/>
            <w:szCs w:val="22"/>
          </w:rPr>
          <w:tab/>
        </w:r>
        <w:r w:rsidR="00C17533" w:rsidRPr="00590B3C">
          <w:rPr>
            <w:rStyle w:val="Hiperhivatkozs"/>
            <w:noProof/>
          </w:rPr>
          <w:t>A befektetési alap elsődleges eszközkategóriájának típusa (értékpapír- vagy ingatlanalap):</w:t>
        </w:r>
        <w:r w:rsidR="00C17533">
          <w:rPr>
            <w:noProof/>
            <w:webHidden/>
          </w:rPr>
          <w:tab/>
        </w:r>
        <w:r w:rsidR="00C17533">
          <w:rPr>
            <w:noProof/>
            <w:webHidden/>
          </w:rPr>
          <w:fldChar w:fldCharType="begin"/>
        </w:r>
        <w:r w:rsidR="00C17533">
          <w:rPr>
            <w:noProof/>
            <w:webHidden/>
          </w:rPr>
          <w:instrText xml:space="preserve"> PAGEREF _Toc349832282 \h </w:instrText>
        </w:r>
        <w:r w:rsidR="00C17533">
          <w:rPr>
            <w:noProof/>
            <w:webHidden/>
          </w:rPr>
        </w:r>
        <w:r w:rsidR="00C17533">
          <w:rPr>
            <w:noProof/>
            <w:webHidden/>
          </w:rPr>
          <w:fldChar w:fldCharType="separate"/>
        </w:r>
        <w:r w:rsidR="00B455C4">
          <w:rPr>
            <w:noProof/>
            <w:webHidden/>
          </w:rPr>
          <w:t>7</w:t>
        </w:r>
        <w:r w:rsidR="00C17533">
          <w:rPr>
            <w:noProof/>
            <w:webHidden/>
          </w:rPr>
          <w:fldChar w:fldCharType="end"/>
        </w:r>
      </w:hyperlink>
    </w:p>
    <w:p w:rsidR="00C17533" w:rsidRDefault="006B6AC1">
      <w:pPr>
        <w:pStyle w:val="TJ2"/>
        <w:tabs>
          <w:tab w:val="left" w:pos="800"/>
          <w:tab w:val="right" w:leader="dot" w:pos="9061"/>
        </w:tabs>
        <w:rPr>
          <w:rFonts w:asciiTheme="minorHAnsi" w:eastAsiaTheme="minorEastAsia" w:hAnsiTheme="minorHAnsi" w:cstheme="minorBidi"/>
          <w:smallCaps w:val="0"/>
          <w:noProof/>
          <w:sz w:val="22"/>
          <w:szCs w:val="22"/>
        </w:rPr>
      </w:pPr>
      <w:hyperlink w:anchor="_Toc349832283" w:history="1">
        <w:r w:rsidR="00C17533" w:rsidRPr="00590B3C">
          <w:rPr>
            <w:rStyle w:val="Hiperhivatkozs"/>
            <w:noProof/>
          </w:rPr>
          <w:t>1.14.</w:t>
        </w:r>
        <w:r w:rsidR="00C17533">
          <w:rPr>
            <w:rFonts w:asciiTheme="minorHAnsi" w:eastAsiaTheme="minorEastAsia" w:hAnsiTheme="minorHAnsi" w:cstheme="minorBidi"/>
            <w:smallCaps w:val="0"/>
            <w:noProof/>
            <w:sz w:val="22"/>
            <w:szCs w:val="22"/>
          </w:rPr>
          <w:tab/>
        </w:r>
        <w:r w:rsidR="00C17533" w:rsidRPr="00590B3C">
          <w:rPr>
            <w:rStyle w:val="Hiperhivatkozs"/>
            <w:noProof/>
          </w:rPr>
          <w:t>Annak feltüntetése, ha a befektetési alap tőkéjének megóvására, illetve a hozamra vonatkozó ígéretet bankgarancia vagy kezesi biztosítás biztosítja (tőke-, illetve hozamgarancia) vagy azt a befektetési alap részletes befektetési politikája támasztja alá (tőke-, illetve hozamvédelem); az ennek feltételeit a kezelési szabályzatban részletesen tartalmazó pont megjelölése:</w:t>
        </w:r>
        <w:r w:rsidR="00C17533">
          <w:rPr>
            <w:noProof/>
            <w:webHidden/>
          </w:rPr>
          <w:tab/>
        </w:r>
        <w:r w:rsidR="00C17533">
          <w:rPr>
            <w:noProof/>
            <w:webHidden/>
          </w:rPr>
          <w:fldChar w:fldCharType="begin"/>
        </w:r>
        <w:r w:rsidR="00C17533">
          <w:rPr>
            <w:noProof/>
            <w:webHidden/>
          </w:rPr>
          <w:instrText xml:space="preserve"> PAGEREF _Toc349832283 \h </w:instrText>
        </w:r>
        <w:r w:rsidR="00C17533">
          <w:rPr>
            <w:noProof/>
            <w:webHidden/>
          </w:rPr>
        </w:r>
        <w:r w:rsidR="00C17533">
          <w:rPr>
            <w:noProof/>
            <w:webHidden/>
          </w:rPr>
          <w:fldChar w:fldCharType="separate"/>
        </w:r>
        <w:r w:rsidR="00B455C4">
          <w:rPr>
            <w:noProof/>
            <w:webHidden/>
          </w:rPr>
          <w:t>8</w:t>
        </w:r>
        <w:r w:rsidR="00C17533">
          <w:rPr>
            <w:noProof/>
            <w:webHidden/>
          </w:rPr>
          <w:fldChar w:fldCharType="end"/>
        </w:r>
      </w:hyperlink>
    </w:p>
    <w:p w:rsidR="00C17533" w:rsidRDefault="006B6AC1">
      <w:pPr>
        <w:pStyle w:val="TJ2"/>
        <w:tabs>
          <w:tab w:val="left" w:pos="640"/>
          <w:tab w:val="right" w:leader="dot" w:pos="9061"/>
        </w:tabs>
        <w:rPr>
          <w:rFonts w:asciiTheme="minorHAnsi" w:eastAsiaTheme="minorEastAsia" w:hAnsiTheme="minorHAnsi" w:cstheme="minorBidi"/>
          <w:smallCaps w:val="0"/>
          <w:noProof/>
          <w:sz w:val="22"/>
          <w:szCs w:val="22"/>
        </w:rPr>
      </w:pPr>
      <w:hyperlink w:anchor="_Toc349832284" w:history="1">
        <w:r w:rsidR="00C17533" w:rsidRPr="00590B3C">
          <w:rPr>
            <w:rStyle w:val="Hiperhivatkozs"/>
            <w:noProof/>
          </w:rPr>
          <w:t>2.</w:t>
        </w:r>
        <w:r w:rsidR="00C17533">
          <w:rPr>
            <w:rFonts w:asciiTheme="minorHAnsi" w:eastAsiaTheme="minorEastAsia" w:hAnsiTheme="minorHAnsi" w:cstheme="minorBidi"/>
            <w:smallCaps w:val="0"/>
            <w:noProof/>
            <w:sz w:val="22"/>
            <w:szCs w:val="22"/>
          </w:rPr>
          <w:tab/>
        </w:r>
        <w:r w:rsidR="00C17533" w:rsidRPr="00590B3C">
          <w:rPr>
            <w:rStyle w:val="Hiperhivatkozs"/>
            <w:noProof/>
          </w:rPr>
          <w:t>A befektetési alapra vonatkozó egyéb alapinformációk</w:t>
        </w:r>
        <w:r w:rsidR="00C17533">
          <w:rPr>
            <w:noProof/>
            <w:webHidden/>
          </w:rPr>
          <w:tab/>
        </w:r>
        <w:r w:rsidR="00C17533">
          <w:rPr>
            <w:noProof/>
            <w:webHidden/>
          </w:rPr>
          <w:fldChar w:fldCharType="begin"/>
        </w:r>
        <w:r w:rsidR="00C17533">
          <w:rPr>
            <w:noProof/>
            <w:webHidden/>
          </w:rPr>
          <w:instrText xml:space="preserve"> PAGEREF _Toc349832284 \h </w:instrText>
        </w:r>
        <w:r w:rsidR="00C17533">
          <w:rPr>
            <w:noProof/>
            <w:webHidden/>
          </w:rPr>
        </w:r>
        <w:r w:rsidR="00C17533">
          <w:rPr>
            <w:noProof/>
            <w:webHidden/>
          </w:rPr>
          <w:fldChar w:fldCharType="separate"/>
        </w:r>
        <w:r w:rsidR="00B455C4">
          <w:rPr>
            <w:noProof/>
            <w:webHidden/>
          </w:rPr>
          <w:t>8</w:t>
        </w:r>
        <w:r w:rsidR="00C17533">
          <w:rPr>
            <w:noProof/>
            <w:webHidden/>
          </w:rPr>
          <w:fldChar w:fldCharType="end"/>
        </w:r>
      </w:hyperlink>
    </w:p>
    <w:p w:rsidR="00C17533" w:rsidRDefault="006B6AC1">
      <w:pPr>
        <w:pStyle w:val="TJ2"/>
        <w:tabs>
          <w:tab w:val="left" w:pos="640"/>
          <w:tab w:val="right" w:leader="dot" w:pos="9061"/>
        </w:tabs>
        <w:rPr>
          <w:rFonts w:asciiTheme="minorHAnsi" w:eastAsiaTheme="minorEastAsia" w:hAnsiTheme="minorHAnsi" w:cstheme="minorBidi"/>
          <w:smallCaps w:val="0"/>
          <w:noProof/>
          <w:sz w:val="22"/>
          <w:szCs w:val="22"/>
        </w:rPr>
      </w:pPr>
      <w:hyperlink w:anchor="_Toc349832285" w:history="1">
        <w:r w:rsidR="00C17533" w:rsidRPr="00590B3C">
          <w:rPr>
            <w:rStyle w:val="Hiperhivatkozs"/>
            <w:noProof/>
          </w:rPr>
          <w:t>3.</w:t>
        </w:r>
        <w:r w:rsidR="00C17533">
          <w:rPr>
            <w:rFonts w:asciiTheme="minorHAnsi" w:eastAsiaTheme="minorEastAsia" w:hAnsiTheme="minorHAnsi" w:cstheme="minorBidi"/>
            <w:smallCaps w:val="0"/>
            <w:noProof/>
            <w:sz w:val="22"/>
            <w:szCs w:val="22"/>
          </w:rPr>
          <w:tab/>
        </w:r>
        <w:r w:rsidR="00C17533" w:rsidRPr="00590B3C">
          <w:rPr>
            <w:rStyle w:val="Hiperhivatkozs"/>
            <w:noProof/>
          </w:rPr>
          <w:t>A befektetési alapkezelésre, a befektetési jegyek forgalomba hozatalára és forgalmazására vonatkozó, valamint az alap és a befektetők között jogviszonyt szabályozó jogszabályok:</w:t>
        </w:r>
        <w:r w:rsidR="00C17533">
          <w:rPr>
            <w:noProof/>
            <w:webHidden/>
          </w:rPr>
          <w:tab/>
        </w:r>
        <w:r w:rsidR="00C17533">
          <w:rPr>
            <w:noProof/>
            <w:webHidden/>
          </w:rPr>
          <w:fldChar w:fldCharType="begin"/>
        </w:r>
        <w:r w:rsidR="00C17533">
          <w:rPr>
            <w:noProof/>
            <w:webHidden/>
          </w:rPr>
          <w:instrText xml:space="preserve"> PAGEREF _Toc349832285 \h </w:instrText>
        </w:r>
        <w:r w:rsidR="00C17533">
          <w:rPr>
            <w:noProof/>
            <w:webHidden/>
          </w:rPr>
        </w:r>
        <w:r w:rsidR="00C17533">
          <w:rPr>
            <w:noProof/>
            <w:webHidden/>
          </w:rPr>
          <w:fldChar w:fldCharType="separate"/>
        </w:r>
        <w:r w:rsidR="00B455C4">
          <w:rPr>
            <w:noProof/>
            <w:webHidden/>
          </w:rPr>
          <w:t>8</w:t>
        </w:r>
        <w:r w:rsidR="00C17533">
          <w:rPr>
            <w:noProof/>
            <w:webHidden/>
          </w:rPr>
          <w:fldChar w:fldCharType="end"/>
        </w:r>
      </w:hyperlink>
    </w:p>
    <w:p w:rsidR="00C17533" w:rsidRDefault="006B6AC1">
      <w:pPr>
        <w:pStyle w:val="TJ1"/>
        <w:tabs>
          <w:tab w:val="left" w:pos="640"/>
          <w:tab w:val="right" w:leader="dot" w:pos="9061"/>
        </w:tabs>
        <w:rPr>
          <w:rFonts w:asciiTheme="minorHAnsi" w:eastAsiaTheme="minorEastAsia" w:hAnsiTheme="minorHAnsi" w:cstheme="minorBidi"/>
          <w:b w:val="0"/>
          <w:bCs w:val="0"/>
          <w:caps w:val="0"/>
          <w:noProof/>
          <w:sz w:val="22"/>
          <w:szCs w:val="22"/>
        </w:rPr>
      </w:pPr>
      <w:hyperlink w:anchor="_Toc349832286" w:history="1">
        <w:r w:rsidR="00C17533" w:rsidRPr="00590B3C">
          <w:rPr>
            <w:rStyle w:val="Hiperhivatkozs"/>
            <w:rFonts w:ascii="Verdana" w:hAnsi="Verdana"/>
            <w:noProof/>
          </w:rPr>
          <w:t>II.</w:t>
        </w:r>
        <w:r w:rsidR="00C17533">
          <w:rPr>
            <w:rFonts w:asciiTheme="minorHAnsi" w:eastAsiaTheme="minorEastAsia" w:hAnsiTheme="minorHAnsi" w:cstheme="minorBidi"/>
            <w:b w:val="0"/>
            <w:bCs w:val="0"/>
            <w:caps w:val="0"/>
            <w:noProof/>
            <w:sz w:val="22"/>
            <w:szCs w:val="22"/>
          </w:rPr>
          <w:tab/>
        </w:r>
        <w:r w:rsidR="00C17533" w:rsidRPr="00590B3C">
          <w:rPr>
            <w:rStyle w:val="Hiperhivatkozs"/>
            <w:rFonts w:ascii="Verdana" w:hAnsi="Verdana"/>
            <w:noProof/>
          </w:rPr>
          <w:t>A befektetési jegyre vonatkozó információk</w:t>
        </w:r>
        <w:r w:rsidR="00C17533">
          <w:rPr>
            <w:noProof/>
            <w:webHidden/>
          </w:rPr>
          <w:tab/>
        </w:r>
        <w:r w:rsidR="00C17533">
          <w:rPr>
            <w:noProof/>
            <w:webHidden/>
          </w:rPr>
          <w:fldChar w:fldCharType="begin"/>
        </w:r>
        <w:r w:rsidR="00C17533">
          <w:rPr>
            <w:noProof/>
            <w:webHidden/>
          </w:rPr>
          <w:instrText xml:space="preserve"> PAGEREF _Toc349832286 \h </w:instrText>
        </w:r>
        <w:r w:rsidR="00C17533">
          <w:rPr>
            <w:noProof/>
            <w:webHidden/>
          </w:rPr>
        </w:r>
        <w:r w:rsidR="00C17533">
          <w:rPr>
            <w:noProof/>
            <w:webHidden/>
          </w:rPr>
          <w:fldChar w:fldCharType="separate"/>
        </w:r>
        <w:r w:rsidR="00B455C4">
          <w:rPr>
            <w:noProof/>
            <w:webHidden/>
          </w:rPr>
          <w:t>9</w:t>
        </w:r>
        <w:r w:rsidR="00C17533">
          <w:rPr>
            <w:noProof/>
            <w:webHidden/>
          </w:rPr>
          <w:fldChar w:fldCharType="end"/>
        </w:r>
      </w:hyperlink>
    </w:p>
    <w:p w:rsidR="00C17533" w:rsidRDefault="006B6AC1">
      <w:pPr>
        <w:pStyle w:val="TJ2"/>
        <w:tabs>
          <w:tab w:val="left" w:pos="640"/>
          <w:tab w:val="right" w:leader="dot" w:pos="9061"/>
        </w:tabs>
        <w:rPr>
          <w:rFonts w:asciiTheme="minorHAnsi" w:eastAsiaTheme="minorEastAsia" w:hAnsiTheme="minorHAnsi" w:cstheme="minorBidi"/>
          <w:smallCaps w:val="0"/>
          <w:noProof/>
          <w:sz w:val="22"/>
          <w:szCs w:val="22"/>
        </w:rPr>
      </w:pPr>
      <w:hyperlink w:anchor="_Toc349832287" w:history="1">
        <w:r w:rsidR="00C17533" w:rsidRPr="00590B3C">
          <w:rPr>
            <w:rStyle w:val="Hiperhivatkozs"/>
            <w:noProof/>
          </w:rPr>
          <w:t>4.</w:t>
        </w:r>
        <w:r w:rsidR="00C17533">
          <w:rPr>
            <w:rFonts w:asciiTheme="minorHAnsi" w:eastAsiaTheme="minorEastAsia" w:hAnsiTheme="minorHAnsi" w:cstheme="minorBidi"/>
            <w:smallCaps w:val="0"/>
            <w:noProof/>
            <w:sz w:val="22"/>
            <w:szCs w:val="22"/>
          </w:rPr>
          <w:tab/>
        </w:r>
        <w:r w:rsidR="00C17533" w:rsidRPr="00590B3C">
          <w:rPr>
            <w:rStyle w:val="Hiperhivatkozs"/>
            <w:noProof/>
          </w:rPr>
          <w:t>A befektetési jegy ISIN azonosítója:</w:t>
        </w:r>
        <w:r w:rsidR="00C17533">
          <w:rPr>
            <w:noProof/>
            <w:webHidden/>
          </w:rPr>
          <w:tab/>
        </w:r>
        <w:r w:rsidR="00C17533">
          <w:rPr>
            <w:noProof/>
            <w:webHidden/>
          </w:rPr>
          <w:fldChar w:fldCharType="begin"/>
        </w:r>
        <w:r w:rsidR="00C17533">
          <w:rPr>
            <w:noProof/>
            <w:webHidden/>
          </w:rPr>
          <w:instrText xml:space="preserve"> PAGEREF _Toc349832287 \h </w:instrText>
        </w:r>
        <w:r w:rsidR="00C17533">
          <w:rPr>
            <w:noProof/>
            <w:webHidden/>
          </w:rPr>
        </w:r>
        <w:r w:rsidR="00C17533">
          <w:rPr>
            <w:noProof/>
            <w:webHidden/>
          </w:rPr>
          <w:fldChar w:fldCharType="separate"/>
        </w:r>
        <w:r w:rsidR="00B455C4">
          <w:rPr>
            <w:noProof/>
            <w:webHidden/>
          </w:rPr>
          <w:t>9</w:t>
        </w:r>
        <w:r w:rsidR="00C17533">
          <w:rPr>
            <w:noProof/>
            <w:webHidden/>
          </w:rPr>
          <w:fldChar w:fldCharType="end"/>
        </w:r>
      </w:hyperlink>
    </w:p>
    <w:p w:rsidR="00C17533" w:rsidRDefault="006B6AC1">
      <w:pPr>
        <w:pStyle w:val="TJ2"/>
        <w:tabs>
          <w:tab w:val="left" w:pos="640"/>
          <w:tab w:val="right" w:leader="dot" w:pos="9061"/>
        </w:tabs>
        <w:rPr>
          <w:rFonts w:asciiTheme="minorHAnsi" w:eastAsiaTheme="minorEastAsia" w:hAnsiTheme="minorHAnsi" w:cstheme="minorBidi"/>
          <w:smallCaps w:val="0"/>
          <w:noProof/>
          <w:sz w:val="22"/>
          <w:szCs w:val="22"/>
        </w:rPr>
      </w:pPr>
      <w:hyperlink w:anchor="_Toc349832288" w:history="1">
        <w:r w:rsidR="00C17533" w:rsidRPr="00590B3C">
          <w:rPr>
            <w:rStyle w:val="Hiperhivatkozs"/>
            <w:noProof/>
          </w:rPr>
          <w:t>5.</w:t>
        </w:r>
        <w:r w:rsidR="00C17533">
          <w:rPr>
            <w:rFonts w:asciiTheme="minorHAnsi" w:eastAsiaTheme="minorEastAsia" w:hAnsiTheme="minorHAnsi" w:cstheme="minorBidi"/>
            <w:smallCaps w:val="0"/>
            <w:noProof/>
            <w:sz w:val="22"/>
            <w:szCs w:val="22"/>
          </w:rPr>
          <w:tab/>
        </w:r>
        <w:r w:rsidR="00C17533" w:rsidRPr="00590B3C">
          <w:rPr>
            <w:rStyle w:val="Hiperhivatkozs"/>
            <w:noProof/>
          </w:rPr>
          <w:t>A befektetési jegy névértéke:</w:t>
        </w:r>
        <w:r w:rsidR="00C17533">
          <w:rPr>
            <w:noProof/>
            <w:webHidden/>
          </w:rPr>
          <w:tab/>
        </w:r>
        <w:r w:rsidR="00C17533">
          <w:rPr>
            <w:noProof/>
            <w:webHidden/>
          </w:rPr>
          <w:fldChar w:fldCharType="begin"/>
        </w:r>
        <w:r w:rsidR="00C17533">
          <w:rPr>
            <w:noProof/>
            <w:webHidden/>
          </w:rPr>
          <w:instrText xml:space="preserve"> PAGEREF _Toc349832288 \h </w:instrText>
        </w:r>
        <w:r w:rsidR="00C17533">
          <w:rPr>
            <w:noProof/>
            <w:webHidden/>
          </w:rPr>
        </w:r>
        <w:r w:rsidR="00C17533">
          <w:rPr>
            <w:noProof/>
            <w:webHidden/>
          </w:rPr>
          <w:fldChar w:fldCharType="separate"/>
        </w:r>
        <w:r w:rsidR="00B455C4">
          <w:rPr>
            <w:noProof/>
            <w:webHidden/>
          </w:rPr>
          <w:t>9</w:t>
        </w:r>
        <w:r w:rsidR="00C17533">
          <w:rPr>
            <w:noProof/>
            <w:webHidden/>
          </w:rPr>
          <w:fldChar w:fldCharType="end"/>
        </w:r>
      </w:hyperlink>
    </w:p>
    <w:p w:rsidR="00C17533" w:rsidRDefault="006B6AC1">
      <w:pPr>
        <w:pStyle w:val="TJ2"/>
        <w:tabs>
          <w:tab w:val="left" w:pos="640"/>
          <w:tab w:val="right" w:leader="dot" w:pos="9061"/>
        </w:tabs>
        <w:rPr>
          <w:rFonts w:asciiTheme="minorHAnsi" w:eastAsiaTheme="minorEastAsia" w:hAnsiTheme="minorHAnsi" w:cstheme="minorBidi"/>
          <w:smallCaps w:val="0"/>
          <w:noProof/>
          <w:sz w:val="22"/>
          <w:szCs w:val="22"/>
        </w:rPr>
      </w:pPr>
      <w:hyperlink w:anchor="_Toc349832289" w:history="1">
        <w:r w:rsidR="00C17533" w:rsidRPr="00590B3C">
          <w:rPr>
            <w:rStyle w:val="Hiperhivatkozs"/>
            <w:noProof/>
          </w:rPr>
          <w:t>6.</w:t>
        </w:r>
        <w:r w:rsidR="00C17533">
          <w:rPr>
            <w:rFonts w:asciiTheme="minorHAnsi" w:eastAsiaTheme="minorEastAsia" w:hAnsiTheme="minorHAnsi" w:cstheme="minorBidi"/>
            <w:smallCaps w:val="0"/>
            <w:noProof/>
            <w:sz w:val="22"/>
            <w:szCs w:val="22"/>
          </w:rPr>
          <w:tab/>
        </w:r>
        <w:r w:rsidR="00C17533" w:rsidRPr="00590B3C">
          <w:rPr>
            <w:rStyle w:val="Hiperhivatkozs"/>
            <w:noProof/>
          </w:rPr>
          <w:t>A befektetési jegy devizaneme:</w:t>
        </w:r>
        <w:r w:rsidR="00C17533">
          <w:rPr>
            <w:noProof/>
            <w:webHidden/>
          </w:rPr>
          <w:tab/>
        </w:r>
        <w:r w:rsidR="00C17533">
          <w:rPr>
            <w:noProof/>
            <w:webHidden/>
          </w:rPr>
          <w:fldChar w:fldCharType="begin"/>
        </w:r>
        <w:r w:rsidR="00C17533">
          <w:rPr>
            <w:noProof/>
            <w:webHidden/>
          </w:rPr>
          <w:instrText xml:space="preserve"> PAGEREF _Toc349832289 \h </w:instrText>
        </w:r>
        <w:r w:rsidR="00C17533">
          <w:rPr>
            <w:noProof/>
            <w:webHidden/>
          </w:rPr>
        </w:r>
        <w:r w:rsidR="00C17533">
          <w:rPr>
            <w:noProof/>
            <w:webHidden/>
          </w:rPr>
          <w:fldChar w:fldCharType="separate"/>
        </w:r>
        <w:r w:rsidR="00B455C4">
          <w:rPr>
            <w:noProof/>
            <w:webHidden/>
          </w:rPr>
          <w:t>9</w:t>
        </w:r>
        <w:r w:rsidR="00C17533">
          <w:rPr>
            <w:noProof/>
            <w:webHidden/>
          </w:rPr>
          <w:fldChar w:fldCharType="end"/>
        </w:r>
      </w:hyperlink>
    </w:p>
    <w:p w:rsidR="00C17533" w:rsidRDefault="006B6AC1">
      <w:pPr>
        <w:pStyle w:val="TJ2"/>
        <w:tabs>
          <w:tab w:val="left" w:pos="640"/>
          <w:tab w:val="right" w:leader="dot" w:pos="9061"/>
        </w:tabs>
        <w:rPr>
          <w:rFonts w:asciiTheme="minorHAnsi" w:eastAsiaTheme="minorEastAsia" w:hAnsiTheme="minorHAnsi" w:cstheme="minorBidi"/>
          <w:smallCaps w:val="0"/>
          <w:noProof/>
          <w:sz w:val="22"/>
          <w:szCs w:val="22"/>
        </w:rPr>
      </w:pPr>
      <w:hyperlink w:anchor="_Toc349832290" w:history="1">
        <w:r w:rsidR="00C17533" w:rsidRPr="00590B3C">
          <w:rPr>
            <w:rStyle w:val="Hiperhivatkozs"/>
            <w:noProof/>
          </w:rPr>
          <w:t>7.</w:t>
        </w:r>
        <w:r w:rsidR="00C17533">
          <w:rPr>
            <w:rFonts w:asciiTheme="minorHAnsi" w:eastAsiaTheme="minorEastAsia" w:hAnsiTheme="minorHAnsi" w:cstheme="minorBidi"/>
            <w:smallCaps w:val="0"/>
            <w:noProof/>
            <w:sz w:val="22"/>
            <w:szCs w:val="22"/>
          </w:rPr>
          <w:tab/>
        </w:r>
        <w:r w:rsidR="00C17533" w:rsidRPr="00590B3C">
          <w:rPr>
            <w:rStyle w:val="Hiperhivatkozs"/>
            <w:noProof/>
          </w:rPr>
          <w:t>A befektetési jegy előállításának módja:</w:t>
        </w:r>
        <w:r w:rsidR="00C17533">
          <w:rPr>
            <w:noProof/>
            <w:webHidden/>
          </w:rPr>
          <w:tab/>
        </w:r>
        <w:r w:rsidR="00C17533">
          <w:rPr>
            <w:noProof/>
            <w:webHidden/>
          </w:rPr>
          <w:fldChar w:fldCharType="begin"/>
        </w:r>
        <w:r w:rsidR="00C17533">
          <w:rPr>
            <w:noProof/>
            <w:webHidden/>
          </w:rPr>
          <w:instrText xml:space="preserve"> PAGEREF _Toc349832290 \h </w:instrText>
        </w:r>
        <w:r w:rsidR="00C17533">
          <w:rPr>
            <w:noProof/>
            <w:webHidden/>
          </w:rPr>
        </w:r>
        <w:r w:rsidR="00C17533">
          <w:rPr>
            <w:noProof/>
            <w:webHidden/>
          </w:rPr>
          <w:fldChar w:fldCharType="separate"/>
        </w:r>
        <w:r w:rsidR="00B455C4">
          <w:rPr>
            <w:noProof/>
            <w:webHidden/>
          </w:rPr>
          <w:t>9</w:t>
        </w:r>
        <w:r w:rsidR="00C17533">
          <w:rPr>
            <w:noProof/>
            <w:webHidden/>
          </w:rPr>
          <w:fldChar w:fldCharType="end"/>
        </w:r>
      </w:hyperlink>
    </w:p>
    <w:p w:rsidR="00C17533" w:rsidRDefault="006B6AC1">
      <w:pPr>
        <w:pStyle w:val="TJ2"/>
        <w:tabs>
          <w:tab w:val="left" w:pos="640"/>
          <w:tab w:val="right" w:leader="dot" w:pos="9061"/>
        </w:tabs>
        <w:rPr>
          <w:rFonts w:asciiTheme="minorHAnsi" w:eastAsiaTheme="minorEastAsia" w:hAnsiTheme="minorHAnsi" w:cstheme="minorBidi"/>
          <w:smallCaps w:val="0"/>
          <w:noProof/>
          <w:sz w:val="22"/>
          <w:szCs w:val="22"/>
        </w:rPr>
      </w:pPr>
      <w:hyperlink w:anchor="_Toc349832291" w:history="1">
        <w:r w:rsidR="00C17533" w:rsidRPr="00590B3C">
          <w:rPr>
            <w:rStyle w:val="Hiperhivatkozs"/>
            <w:noProof/>
          </w:rPr>
          <w:t>8.</w:t>
        </w:r>
        <w:r w:rsidR="00C17533">
          <w:rPr>
            <w:rFonts w:asciiTheme="minorHAnsi" w:eastAsiaTheme="minorEastAsia" w:hAnsiTheme="minorHAnsi" w:cstheme="minorBidi"/>
            <w:smallCaps w:val="0"/>
            <w:noProof/>
            <w:sz w:val="22"/>
            <w:szCs w:val="22"/>
          </w:rPr>
          <w:tab/>
        </w:r>
        <w:r w:rsidR="00C17533" w:rsidRPr="00590B3C">
          <w:rPr>
            <w:rStyle w:val="Hiperhivatkozs"/>
            <w:noProof/>
          </w:rPr>
          <w:t>A befektetési jegyre vonatkozó tulajdonjog igazolásának és nyilvántartásának módja:</w:t>
        </w:r>
        <w:r w:rsidR="00C17533">
          <w:rPr>
            <w:noProof/>
            <w:webHidden/>
          </w:rPr>
          <w:tab/>
        </w:r>
        <w:r w:rsidR="00C17533">
          <w:rPr>
            <w:noProof/>
            <w:webHidden/>
          </w:rPr>
          <w:fldChar w:fldCharType="begin"/>
        </w:r>
        <w:r w:rsidR="00C17533">
          <w:rPr>
            <w:noProof/>
            <w:webHidden/>
          </w:rPr>
          <w:instrText xml:space="preserve"> PAGEREF _Toc349832291 \h </w:instrText>
        </w:r>
        <w:r w:rsidR="00C17533">
          <w:rPr>
            <w:noProof/>
            <w:webHidden/>
          </w:rPr>
        </w:r>
        <w:r w:rsidR="00C17533">
          <w:rPr>
            <w:noProof/>
            <w:webHidden/>
          </w:rPr>
          <w:fldChar w:fldCharType="separate"/>
        </w:r>
        <w:r w:rsidR="00B455C4">
          <w:rPr>
            <w:noProof/>
            <w:webHidden/>
          </w:rPr>
          <w:t>9</w:t>
        </w:r>
        <w:r w:rsidR="00C17533">
          <w:rPr>
            <w:noProof/>
            <w:webHidden/>
          </w:rPr>
          <w:fldChar w:fldCharType="end"/>
        </w:r>
      </w:hyperlink>
    </w:p>
    <w:p w:rsidR="00C17533" w:rsidRDefault="006B6AC1">
      <w:pPr>
        <w:pStyle w:val="TJ2"/>
        <w:tabs>
          <w:tab w:val="left" w:pos="640"/>
          <w:tab w:val="right" w:leader="dot" w:pos="9061"/>
        </w:tabs>
        <w:rPr>
          <w:rFonts w:asciiTheme="minorHAnsi" w:eastAsiaTheme="minorEastAsia" w:hAnsiTheme="minorHAnsi" w:cstheme="minorBidi"/>
          <w:smallCaps w:val="0"/>
          <w:noProof/>
          <w:sz w:val="22"/>
          <w:szCs w:val="22"/>
        </w:rPr>
      </w:pPr>
      <w:hyperlink w:anchor="_Toc349832292" w:history="1">
        <w:r w:rsidR="00C17533" w:rsidRPr="00590B3C">
          <w:rPr>
            <w:rStyle w:val="Hiperhivatkozs"/>
            <w:noProof/>
          </w:rPr>
          <w:t>9.</w:t>
        </w:r>
        <w:r w:rsidR="00C17533">
          <w:rPr>
            <w:rFonts w:asciiTheme="minorHAnsi" w:eastAsiaTheme="minorEastAsia" w:hAnsiTheme="minorHAnsi" w:cstheme="minorBidi"/>
            <w:smallCaps w:val="0"/>
            <w:noProof/>
            <w:sz w:val="22"/>
            <w:szCs w:val="22"/>
          </w:rPr>
          <w:tab/>
        </w:r>
        <w:r w:rsidR="00C17533" w:rsidRPr="00590B3C">
          <w:rPr>
            <w:rStyle w:val="Hiperhivatkozs"/>
            <w:noProof/>
          </w:rPr>
          <w:t>A befektetőnek a befektetési jegy által biztosított jogai:</w:t>
        </w:r>
        <w:r w:rsidR="00C17533">
          <w:rPr>
            <w:noProof/>
            <w:webHidden/>
          </w:rPr>
          <w:tab/>
        </w:r>
        <w:r w:rsidR="00C17533">
          <w:rPr>
            <w:noProof/>
            <w:webHidden/>
          </w:rPr>
          <w:fldChar w:fldCharType="begin"/>
        </w:r>
        <w:r w:rsidR="00C17533">
          <w:rPr>
            <w:noProof/>
            <w:webHidden/>
          </w:rPr>
          <w:instrText xml:space="preserve"> PAGEREF _Toc349832292 \h </w:instrText>
        </w:r>
        <w:r w:rsidR="00C17533">
          <w:rPr>
            <w:noProof/>
            <w:webHidden/>
          </w:rPr>
        </w:r>
        <w:r w:rsidR="00C17533">
          <w:rPr>
            <w:noProof/>
            <w:webHidden/>
          </w:rPr>
          <w:fldChar w:fldCharType="separate"/>
        </w:r>
        <w:r w:rsidR="00B455C4">
          <w:rPr>
            <w:noProof/>
            <w:webHidden/>
          </w:rPr>
          <w:t>9</w:t>
        </w:r>
        <w:r w:rsidR="00C17533">
          <w:rPr>
            <w:noProof/>
            <w:webHidden/>
          </w:rPr>
          <w:fldChar w:fldCharType="end"/>
        </w:r>
      </w:hyperlink>
    </w:p>
    <w:p w:rsidR="00C17533" w:rsidRDefault="006B6AC1">
      <w:pPr>
        <w:pStyle w:val="TJ2"/>
        <w:tabs>
          <w:tab w:val="left" w:pos="640"/>
          <w:tab w:val="right" w:leader="dot" w:pos="9061"/>
        </w:tabs>
        <w:rPr>
          <w:rFonts w:asciiTheme="minorHAnsi" w:eastAsiaTheme="minorEastAsia" w:hAnsiTheme="minorHAnsi" w:cstheme="minorBidi"/>
          <w:smallCaps w:val="0"/>
          <w:noProof/>
          <w:sz w:val="22"/>
          <w:szCs w:val="22"/>
        </w:rPr>
      </w:pPr>
      <w:hyperlink w:anchor="_Toc349832293" w:history="1">
        <w:r w:rsidR="00C17533" w:rsidRPr="00590B3C">
          <w:rPr>
            <w:rStyle w:val="Hiperhivatkozs"/>
            <w:noProof/>
          </w:rPr>
          <w:t>10.</w:t>
        </w:r>
        <w:r w:rsidR="00C17533">
          <w:rPr>
            <w:rFonts w:asciiTheme="minorHAnsi" w:eastAsiaTheme="minorEastAsia" w:hAnsiTheme="minorHAnsi" w:cstheme="minorBidi"/>
            <w:smallCaps w:val="0"/>
            <w:noProof/>
            <w:sz w:val="22"/>
            <w:szCs w:val="22"/>
          </w:rPr>
          <w:tab/>
        </w:r>
        <w:r w:rsidR="00C17533" w:rsidRPr="00590B3C">
          <w:rPr>
            <w:rStyle w:val="Hiperhivatkozs"/>
            <w:noProof/>
          </w:rPr>
          <w:t>A befektetési jegyre vonatkozó egyéb információk:</w:t>
        </w:r>
        <w:r w:rsidR="00C17533">
          <w:rPr>
            <w:noProof/>
            <w:webHidden/>
          </w:rPr>
          <w:tab/>
        </w:r>
        <w:r w:rsidR="00C17533">
          <w:rPr>
            <w:noProof/>
            <w:webHidden/>
          </w:rPr>
          <w:fldChar w:fldCharType="begin"/>
        </w:r>
        <w:r w:rsidR="00C17533">
          <w:rPr>
            <w:noProof/>
            <w:webHidden/>
          </w:rPr>
          <w:instrText xml:space="preserve"> PAGEREF _Toc349832293 \h </w:instrText>
        </w:r>
        <w:r w:rsidR="00C17533">
          <w:rPr>
            <w:noProof/>
            <w:webHidden/>
          </w:rPr>
        </w:r>
        <w:r w:rsidR="00C17533">
          <w:rPr>
            <w:noProof/>
            <w:webHidden/>
          </w:rPr>
          <w:fldChar w:fldCharType="separate"/>
        </w:r>
        <w:r w:rsidR="00B455C4">
          <w:rPr>
            <w:noProof/>
            <w:webHidden/>
          </w:rPr>
          <w:t>10</w:t>
        </w:r>
        <w:r w:rsidR="00C17533">
          <w:rPr>
            <w:noProof/>
            <w:webHidden/>
          </w:rPr>
          <w:fldChar w:fldCharType="end"/>
        </w:r>
      </w:hyperlink>
    </w:p>
    <w:p w:rsidR="00C17533" w:rsidRDefault="006B6AC1">
      <w:pPr>
        <w:pStyle w:val="TJ1"/>
        <w:tabs>
          <w:tab w:val="left" w:pos="640"/>
          <w:tab w:val="right" w:leader="dot" w:pos="9061"/>
        </w:tabs>
        <w:rPr>
          <w:rFonts w:asciiTheme="minorHAnsi" w:eastAsiaTheme="minorEastAsia" w:hAnsiTheme="minorHAnsi" w:cstheme="minorBidi"/>
          <w:b w:val="0"/>
          <w:bCs w:val="0"/>
          <w:caps w:val="0"/>
          <w:noProof/>
          <w:sz w:val="22"/>
          <w:szCs w:val="22"/>
        </w:rPr>
      </w:pPr>
      <w:hyperlink w:anchor="_Toc349832294" w:history="1">
        <w:r w:rsidR="00C17533" w:rsidRPr="00590B3C">
          <w:rPr>
            <w:rStyle w:val="Hiperhivatkozs"/>
            <w:rFonts w:ascii="Verdana" w:hAnsi="Verdana"/>
            <w:noProof/>
          </w:rPr>
          <w:t>III.</w:t>
        </w:r>
        <w:r w:rsidR="00C17533">
          <w:rPr>
            <w:rFonts w:asciiTheme="minorHAnsi" w:eastAsiaTheme="minorEastAsia" w:hAnsiTheme="minorHAnsi" w:cstheme="minorBidi"/>
            <w:b w:val="0"/>
            <w:bCs w:val="0"/>
            <w:caps w:val="0"/>
            <w:noProof/>
            <w:sz w:val="22"/>
            <w:szCs w:val="22"/>
          </w:rPr>
          <w:tab/>
        </w:r>
        <w:r w:rsidR="00C17533" w:rsidRPr="00590B3C">
          <w:rPr>
            <w:rStyle w:val="Hiperhivatkozs"/>
            <w:rFonts w:ascii="Verdana" w:hAnsi="Verdana"/>
            <w:noProof/>
          </w:rPr>
          <w:t>A befektetési alap befektetési politikája és céljai</w:t>
        </w:r>
        <w:r w:rsidR="00C17533">
          <w:rPr>
            <w:noProof/>
            <w:webHidden/>
          </w:rPr>
          <w:tab/>
        </w:r>
        <w:r w:rsidR="00C17533">
          <w:rPr>
            <w:noProof/>
            <w:webHidden/>
          </w:rPr>
          <w:fldChar w:fldCharType="begin"/>
        </w:r>
        <w:r w:rsidR="00C17533">
          <w:rPr>
            <w:noProof/>
            <w:webHidden/>
          </w:rPr>
          <w:instrText xml:space="preserve"> PAGEREF _Toc349832294 \h </w:instrText>
        </w:r>
        <w:r w:rsidR="00C17533">
          <w:rPr>
            <w:noProof/>
            <w:webHidden/>
          </w:rPr>
        </w:r>
        <w:r w:rsidR="00C17533">
          <w:rPr>
            <w:noProof/>
            <w:webHidden/>
          </w:rPr>
          <w:fldChar w:fldCharType="separate"/>
        </w:r>
        <w:r w:rsidR="00B455C4">
          <w:rPr>
            <w:noProof/>
            <w:webHidden/>
          </w:rPr>
          <w:t>11</w:t>
        </w:r>
        <w:r w:rsidR="00C17533">
          <w:rPr>
            <w:noProof/>
            <w:webHidden/>
          </w:rPr>
          <w:fldChar w:fldCharType="end"/>
        </w:r>
      </w:hyperlink>
    </w:p>
    <w:p w:rsidR="00C17533" w:rsidRDefault="006B6AC1">
      <w:pPr>
        <w:pStyle w:val="TJ2"/>
        <w:tabs>
          <w:tab w:val="left" w:pos="640"/>
          <w:tab w:val="right" w:leader="dot" w:pos="9061"/>
        </w:tabs>
        <w:rPr>
          <w:rFonts w:asciiTheme="minorHAnsi" w:eastAsiaTheme="minorEastAsia" w:hAnsiTheme="minorHAnsi" w:cstheme="minorBidi"/>
          <w:smallCaps w:val="0"/>
          <w:noProof/>
          <w:sz w:val="22"/>
          <w:szCs w:val="22"/>
        </w:rPr>
      </w:pPr>
      <w:hyperlink w:anchor="_Toc349832295" w:history="1">
        <w:r w:rsidR="00C17533" w:rsidRPr="00590B3C">
          <w:rPr>
            <w:rStyle w:val="Hiperhivatkozs"/>
            <w:noProof/>
          </w:rPr>
          <w:t>11.</w:t>
        </w:r>
        <w:r w:rsidR="00C17533">
          <w:rPr>
            <w:rFonts w:asciiTheme="minorHAnsi" w:eastAsiaTheme="minorEastAsia" w:hAnsiTheme="minorHAnsi" w:cstheme="minorBidi"/>
            <w:smallCaps w:val="0"/>
            <w:noProof/>
            <w:sz w:val="22"/>
            <w:szCs w:val="22"/>
          </w:rPr>
          <w:tab/>
        </w:r>
        <w:r w:rsidR="00C17533" w:rsidRPr="00590B3C">
          <w:rPr>
            <w:rStyle w:val="Hiperhivatkozs"/>
            <w:noProof/>
          </w:rPr>
          <w:t>A befektetési alap befektetési céljainak, specializációjának leírása, feltüntetve a pénzügyi célokat is (pl.: tőkenövekedés vagy jövedelem, földrajzi vagy iparági specifikáció):</w:t>
        </w:r>
        <w:r w:rsidR="00C17533">
          <w:rPr>
            <w:noProof/>
            <w:webHidden/>
          </w:rPr>
          <w:tab/>
        </w:r>
        <w:r w:rsidR="00C17533">
          <w:rPr>
            <w:noProof/>
            <w:webHidden/>
          </w:rPr>
          <w:fldChar w:fldCharType="begin"/>
        </w:r>
        <w:r w:rsidR="00C17533">
          <w:rPr>
            <w:noProof/>
            <w:webHidden/>
          </w:rPr>
          <w:instrText xml:space="preserve"> PAGEREF _Toc349832295 \h </w:instrText>
        </w:r>
        <w:r w:rsidR="00C17533">
          <w:rPr>
            <w:noProof/>
            <w:webHidden/>
          </w:rPr>
        </w:r>
        <w:r w:rsidR="00C17533">
          <w:rPr>
            <w:noProof/>
            <w:webHidden/>
          </w:rPr>
          <w:fldChar w:fldCharType="separate"/>
        </w:r>
        <w:r w:rsidR="00B455C4">
          <w:rPr>
            <w:noProof/>
            <w:webHidden/>
          </w:rPr>
          <w:t>11</w:t>
        </w:r>
        <w:r w:rsidR="00C17533">
          <w:rPr>
            <w:noProof/>
            <w:webHidden/>
          </w:rPr>
          <w:fldChar w:fldCharType="end"/>
        </w:r>
      </w:hyperlink>
    </w:p>
    <w:p w:rsidR="00C17533" w:rsidRDefault="006B6AC1">
      <w:pPr>
        <w:pStyle w:val="TJ2"/>
        <w:tabs>
          <w:tab w:val="left" w:pos="640"/>
          <w:tab w:val="right" w:leader="dot" w:pos="9061"/>
        </w:tabs>
        <w:rPr>
          <w:rFonts w:asciiTheme="minorHAnsi" w:eastAsiaTheme="minorEastAsia" w:hAnsiTheme="minorHAnsi" w:cstheme="minorBidi"/>
          <w:smallCaps w:val="0"/>
          <w:noProof/>
          <w:sz w:val="22"/>
          <w:szCs w:val="22"/>
        </w:rPr>
      </w:pPr>
      <w:hyperlink w:anchor="_Toc349832296" w:history="1">
        <w:r w:rsidR="00C17533" w:rsidRPr="00590B3C">
          <w:rPr>
            <w:rStyle w:val="Hiperhivatkozs"/>
            <w:noProof/>
          </w:rPr>
          <w:t>12.</w:t>
        </w:r>
        <w:r w:rsidR="00C17533">
          <w:rPr>
            <w:rFonts w:asciiTheme="minorHAnsi" w:eastAsiaTheme="minorEastAsia" w:hAnsiTheme="minorHAnsi" w:cstheme="minorBidi"/>
            <w:smallCaps w:val="0"/>
            <w:noProof/>
            <w:sz w:val="22"/>
            <w:szCs w:val="22"/>
          </w:rPr>
          <w:tab/>
        </w:r>
        <w:r w:rsidR="00C17533" w:rsidRPr="00590B3C">
          <w:rPr>
            <w:rStyle w:val="Hiperhivatkozs"/>
            <w:noProof/>
          </w:rPr>
          <w:t>Befektetési stratégia, a befektetési alap céljai megvalósításának eszközei:</w:t>
        </w:r>
        <w:r w:rsidR="00C17533">
          <w:rPr>
            <w:noProof/>
            <w:webHidden/>
          </w:rPr>
          <w:tab/>
        </w:r>
        <w:r w:rsidR="00C17533">
          <w:rPr>
            <w:noProof/>
            <w:webHidden/>
          </w:rPr>
          <w:fldChar w:fldCharType="begin"/>
        </w:r>
        <w:r w:rsidR="00C17533">
          <w:rPr>
            <w:noProof/>
            <w:webHidden/>
          </w:rPr>
          <w:instrText xml:space="preserve"> PAGEREF _Toc349832296 \h </w:instrText>
        </w:r>
        <w:r w:rsidR="00C17533">
          <w:rPr>
            <w:noProof/>
            <w:webHidden/>
          </w:rPr>
        </w:r>
        <w:r w:rsidR="00C17533">
          <w:rPr>
            <w:noProof/>
            <w:webHidden/>
          </w:rPr>
          <w:fldChar w:fldCharType="separate"/>
        </w:r>
        <w:r w:rsidR="00B455C4">
          <w:rPr>
            <w:noProof/>
            <w:webHidden/>
          </w:rPr>
          <w:t>11</w:t>
        </w:r>
        <w:r w:rsidR="00C17533">
          <w:rPr>
            <w:noProof/>
            <w:webHidden/>
          </w:rPr>
          <w:fldChar w:fldCharType="end"/>
        </w:r>
      </w:hyperlink>
    </w:p>
    <w:p w:rsidR="00C17533" w:rsidRDefault="006B6AC1">
      <w:pPr>
        <w:pStyle w:val="TJ2"/>
        <w:tabs>
          <w:tab w:val="left" w:pos="640"/>
          <w:tab w:val="right" w:leader="dot" w:pos="9061"/>
        </w:tabs>
        <w:rPr>
          <w:rFonts w:asciiTheme="minorHAnsi" w:eastAsiaTheme="minorEastAsia" w:hAnsiTheme="minorHAnsi" w:cstheme="minorBidi"/>
          <w:smallCaps w:val="0"/>
          <w:noProof/>
          <w:sz w:val="22"/>
          <w:szCs w:val="22"/>
        </w:rPr>
      </w:pPr>
      <w:hyperlink w:anchor="_Toc349832297" w:history="1">
        <w:r w:rsidR="00C17533" w:rsidRPr="00590B3C">
          <w:rPr>
            <w:rStyle w:val="Hiperhivatkozs"/>
            <w:noProof/>
          </w:rPr>
          <w:t>13.</w:t>
        </w:r>
        <w:r w:rsidR="00C17533">
          <w:rPr>
            <w:rFonts w:asciiTheme="minorHAnsi" w:eastAsiaTheme="minorEastAsia" w:hAnsiTheme="minorHAnsi" w:cstheme="minorBidi"/>
            <w:smallCaps w:val="0"/>
            <w:noProof/>
            <w:sz w:val="22"/>
            <w:szCs w:val="22"/>
          </w:rPr>
          <w:tab/>
        </w:r>
        <w:r w:rsidR="00C17533" w:rsidRPr="00590B3C">
          <w:rPr>
            <w:rStyle w:val="Hiperhivatkozs"/>
            <w:noProof/>
          </w:rPr>
          <w:t>Az Alap portfóliójának lehetséges elemei:</w:t>
        </w:r>
        <w:r w:rsidR="00C17533">
          <w:rPr>
            <w:noProof/>
            <w:webHidden/>
          </w:rPr>
          <w:tab/>
        </w:r>
        <w:r w:rsidR="00C17533">
          <w:rPr>
            <w:noProof/>
            <w:webHidden/>
          </w:rPr>
          <w:fldChar w:fldCharType="begin"/>
        </w:r>
        <w:r w:rsidR="00C17533">
          <w:rPr>
            <w:noProof/>
            <w:webHidden/>
          </w:rPr>
          <w:instrText xml:space="preserve"> PAGEREF _Toc349832297 \h </w:instrText>
        </w:r>
        <w:r w:rsidR="00C17533">
          <w:rPr>
            <w:noProof/>
            <w:webHidden/>
          </w:rPr>
        </w:r>
        <w:r w:rsidR="00C17533">
          <w:rPr>
            <w:noProof/>
            <w:webHidden/>
          </w:rPr>
          <w:fldChar w:fldCharType="separate"/>
        </w:r>
        <w:r w:rsidR="00B455C4">
          <w:rPr>
            <w:noProof/>
            <w:webHidden/>
          </w:rPr>
          <w:t>11</w:t>
        </w:r>
        <w:r w:rsidR="00C17533">
          <w:rPr>
            <w:noProof/>
            <w:webHidden/>
          </w:rPr>
          <w:fldChar w:fldCharType="end"/>
        </w:r>
      </w:hyperlink>
    </w:p>
    <w:p w:rsidR="00C17533" w:rsidRDefault="006B6AC1">
      <w:pPr>
        <w:pStyle w:val="TJ2"/>
        <w:tabs>
          <w:tab w:val="left" w:pos="640"/>
          <w:tab w:val="right" w:leader="dot" w:pos="9061"/>
        </w:tabs>
        <w:rPr>
          <w:rFonts w:asciiTheme="minorHAnsi" w:eastAsiaTheme="minorEastAsia" w:hAnsiTheme="minorHAnsi" w:cstheme="minorBidi"/>
          <w:smallCaps w:val="0"/>
          <w:noProof/>
          <w:sz w:val="22"/>
          <w:szCs w:val="22"/>
        </w:rPr>
      </w:pPr>
      <w:hyperlink w:anchor="_Toc349832298" w:history="1">
        <w:r w:rsidR="00C17533" w:rsidRPr="00590B3C">
          <w:rPr>
            <w:rStyle w:val="Hiperhivatkozs"/>
            <w:noProof/>
          </w:rPr>
          <w:t>14.</w:t>
        </w:r>
        <w:r w:rsidR="00C17533">
          <w:rPr>
            <w:rFonts w:asciiTheme="minorHAnsi" w:eastAsiaTheme="minorEastAsia" w:hAnsiTheme="minorHAnsi" w:cstheme="minorBidi"/>
            <w:smallCaps w:val="0"/>
            <w:noProof/>
            <w:sz w:val="22"/>
            <w:szCs w:val="22"/>
          </w:rPr>
          <w:tab/>
        </w:r>
        <w:r w:rsidR="00C17533" w:rsidRPr="00590B3C">
          <w:rPr>
            <w:rStyle w:val="Hiperhivatkozs"/>
            <w:noProof/>
          </w:rPr>
          <w:t>Az egyes portfólióelemek maximális illetve minimális vagy tervezett aránya:</w:t>
        </w:r>
        <w:r w:rsidR="00C17533">
          <w:rPr>
            <w:noProof/>
            <w:webHidden/>
          </w:rPr>
          <w:tab/>
        </w:r>
        <w:r w:rsidR="00C17533">
          <w:rPr>
            <w:noProof/>
            <w:webHidden/>
          </w:rPr>
          <w:fldChar w:fldCharType="begin"/>
        </w:r>
        <w:r w:rsidR="00C17533">
          <w:rPr>
            <w:noProof/>
            <w:webHidden/>
          </w:rPr>
          <w:instrText xml:space="preserve"> PAGEREF _Toc349832298 \h </w:instrText>
        </w:r>
        <w:r w:rsidR="00C17533">
          <w:rPr>
            <w:noProof/>
            <w:webHidden/>
          </w:rPr>
        </w:r>
        <w:r w:rsidR="00C17533">
          <w:rPr>
            <w:noProof/>
            <w:webHidden/>
          </w:rPr>
          <w:fldChar w:fldCharType="separate"/>
        </w:r>
        <w:r w:rsidR="00B455C4">
          <w:rPr>
            <w:noProof/>
            <w:webHidden/>
          </w:rPr>
          <w:t>11</w:t>
        </w:r>
        <w:r w:rsidR="00C17533">
          <w:rPr>
            <w:noProof/>
            <w:webHidden/>
          </w:rPr>
          <w:fldChar w:fldCharType="end"/>
        </w:r>
      </w:hyperlink>
    </w:p>
    <w:p w:rsidR="00C17533" w:rsidRDefault="006B6AC1">
      <w:pPr>
        <w:pStyle w:val="TJ2"/>
        <w:tabs>
          <w:tab w:val="left" w:pos="640"/>
          <w:tab w:val="right" w:leader="dot" w:pos="9061"/>
        </w:tabs>
        <w:rPr>
          <w:rFonts w:asciiTheme="minorHAnsi" w:eastAsiaTheme="minorEastAsia" w:hAnsiTheme="minorHAnsi" w:cstheme="minorBidi"/>
          <w:smallCaps w:val="0"/>
          <w:noProof/>
          <w:sz w:val="22"/>
          <w:szCs w:val="22"/>
        </w:rPr>
      </w:pPr>
      <w:hyperlink w:anchor="_Toc349832299" w:history="1">
        <w:r w:rsidR="00C17533" w:rsidRPr="00590B3C">
          <w:rPr>
            <w:rStyle w:val="Hiperhivatkozs"/>
            <w:noProof/>
          </w:rPr>
          <w:t>15.</w:t>
        </w:r>
        <w:r w:rsidR="00C17533">
          <w:rPr>
            <w:rFonts w:asciiTheme="minorHAnsi" w:eastAsiaTheme="minorEastAsia" w:hAnsiTheme="minorHAnsi" w:cstheme="minorBidi"/>
            <w:smallCaps w:val="0"/>
            <w:noProof/>
            <w:sz w:val="22"/>
            <w:szCs w:val="22"/>
          </w:rPr>
          <w:tab/>
        </w:r>
        <w:r w:rsidR="00C17533" w:rsidRPr="00590B3C">
          <w:rPr>
            <w:rStyle w:val="Hiperhivatkozs"/>
            <w:noProof/>
          </w:rPr>
          <w:t>A befektetési politika minden esetleges korlátozása, valamint olyan technika, eszköz vagy hitelfelvételi jogosítvány, amely a befektetési alap kezeléséhez felhasználható:</w:t>
        </w:r>
        <w:r w:rsidR="00C17533">
          <w:rPr>
            <w:noProof/>
            <w:webHidden/>
          </w:rPr>
          <w:tab/>
        </w:r>
        <w:r w:rsidR="00C17533">
          <w:rPr>
            <w:noProof/>
            <w:webHidden/>
          </w:rPr>
          <w:fldChar w:fldCharType="begin"/>
        </w:r>
        <w:r w:rsidR="00C17533">
          <w:rPr>
            <w:noProof/>
            <w:webHidden/>
          </w:rPr>
          <w:instrText xml:space="preserve"> PAGEREF _Toc349832299 \h </w:instrText>
        </w:r>
        <w:r w:rsidR="00C17533">
          <w:rPr>
            <w:noProof/>
            <w:webHidden/>
          </w:rPr>
        </w:r>
        <w:r w:rsidR="00C17533">
          <w:rPr>
            <w:noProof/>
            <w:webHidden/>
          </w:rPr>
          <w:fldChar w:fldCharType="separate"/>
        </w:r>
        <w:r w:rsidR="00B455C4">
          <w:rPr>
            <w:noProof/>
            <w:webHidden/>
          </w:rPr>
          <w:t>12</w:t>
        </w:r>
        <w:r w:rsidR="00C17533">
          <w:rPr>
            <w:noProof/>
            <w:webHidden/>
          </w:rPr>
          <w:fldChar w:fldCharType="end"/>
        </w:r>
      </w:hyperlink>
    </w:p>
    <w:p w:rsidR="00C17533" w:rsidRDefault="006B6AC1">
      <w:pPr>
        <w:pStyle w:val="TJ2"/>
        <w:tabs>
          <w:tab w:val="left" w:pos="640"/>
          <w:tab w:val="right" w:leader="dot" w:pos="9061"/>
        </w:tabs>
        <w:rPr>
          <w:rFonts w:asciiTheme="minorHAnsi" w:eastAsiaTheme="minorEastAsia" w:hAnsiTheme="minorHAnsi" w:cstheme="minorBidi"/>
          <w:smallCaps w:val="0"/>
          <w:noProof/>
          <w:sz w:val="22"/>
          <w:szCs w:val="22"/>
        </w:rPr>
      </w:pPr>
      <w:hyperlink w:anchor="_Toc349832300" w:history="1">
        <w:r w:rsidR="00C17533" w:rsidRPr="00590B3C">
          <w:rPr>
            <w:rStyle w:val="Hiperhivatkozs"/>
            <w:noProof/>
          </w:rPr>
          <w:t>16.</w:t>
        </w:r>
        <w:r w:rsidR="00C17533">
          <w:rPr>
            <w:rFonts w:asciiTheme="minorHAnsi" w:eastAsiaTheme="minorEastAsia" w:hAnsiTheme="minorHAnsi" w:cstheme="minorBidi"/>
            <w:smallCaps w:val="0"/>
            <w:noProof/>
            <w:sz w:val="22"/>
            <w:szCs w:val="22"/>
          </w:rPr>
          <w:tab/>
        </w:r>
        <w:r w:rsidR="00C17533" w:rsidRPr="00590B3C">
          <w:rPr>
            <w:rStyle w:val="Hiperhivatkozs"/>
            <w:noProof/>
          </w:rPr>
          <w:t>A portfólió devizális kitettsége:</w:t>
        </w:r>
        <w:r w:rsidR="00C17533">
          <w:rPr>
            <w:noProof/>
            <w:webHidden/>
          </w:rPr>
          <w:tab/>
        </w:r>
        <w:r w:rsidR="00C17533">
          <w:rPr>
            <w:noProof/>
            <w:webHidden/>
          </w:rPr>
          <w:fldChar w:fldCharType="begin"/>
        </w:r>
        <w:r w:rsidR="00C17533">
          <w:rPr>
            <w:noProof/>
            <w:webHidden/>
          </w:rPr>
          <w:instrText xml:space="preserve"> PAGEREF _Toc349832300 \h </w:instrText>
        </w:r>
        <w:r w:rsidR="00C17533">
          <w:rPr>
            <w:noProof/>
            <w:webHidden/>
          </w:rPr>
        </w:r>
        <w:r w:rsidR="00C17533">
          <w:rPr>
            <w:noProof/>
            <w:webHidden/>
          </w:rPr>
          <w:fldChar w:fldCharType="separate"/>
        </w:r>
        <w:r w:rsidR="00B455C4">
          <w:rPr>
            <w:noProof/>
            <w:webHidden/>
          </w:rPr>
          <w:t>14</w:t>
        </w:r>
        <w:r w:rsidR="00C17533">
          <w:rPr>
            <w:noProof/>
            <w:webHidden/>
          </w:rPr>
          <w:fldChar w:fldCharType="end"/>
        </w:r>
      </w:hyperlink>
    </w:p>
    <w:p w:rsidR="00C17533" w:rsidRDefault="006B6AC1">
      <w:pPr>
        <w:pStyle w:val="TJ2"/>
        <w:tabs>
          <w:tab w:val="left" w:pos="640"/>
          <w:tab w:val="right" w:leader="dot" w:pos="9061"/>
        </w:tabs>
        <w:rPr>
          <w:rFonts w:asciiTheme="minorHAnsi" w:eastAsiaTheme="minorEastAsia" w:hAnsiTheme="minorHAnsi" w:cstheme="minorBidi"/>
          <w:smallCaps w:val="0"/>
          <w:noProof/>
          <w:sz w:val="22"/>
          <w:szCs w:val="22"/>
        </w:rPr>
      </w:pPr>
      <w:hyperlink w:anchor="_Toc349832301" w:history="1">
        <w:r w:rsidR="00C17533" w:rsidRPr="00590B3C">
          <w:rPr>
            <w:rStyle w:val="Hiperhivatkozs"/>
            <w:noProof/>
          </w:rPr>
          <w:t>17.</w:t>
        </w:r>
        <w:r w:rsidR="00C17533">
          <w:rPr>
            <w:rFonts w:asciiTheme="minorHAnsi" w:eastAsiaTheme="minorEastAsia" w:hAnsiTheme="minorHAnsi" w:cstheme="minorBidi"/>
            <w:smallCaps w:val="0"/>
            <w:noProof/>
            <w:sz w:val="22"/>
            <w:szCs w:val="22"/>
          </w:rPr>
          <w:tab/>
        </w:r>
        <w:r w:rsidR="00C17533" w:rsidRPr="00590B3C">
          <w:rPr>
            <w:rStyle w:val="Hiperhivatkozs"/>
            <w:noProof/>
          </w:rPr>
          <w:t>17. Ha a tőke-, illetve hozamígéret a befektetési alap befektetési politikájával van alátámasztva, akkor a mögöttes tervezett tranzakciók leírása:</w:t>
        </w:r>
        <w:r w:rsidR="00C17533">
          <w:rPr>
            <w:noProof/>
            <w:webHidden/>
          </w:rPr>
          <w:tab/>
        </w:r>
        <w:r w:rsidR="00C17533">
          <w:rPr>
            <w:noProof/>
            <w:webHidden/>
          </w:rPr>
          <w:fldChar w:fldCharType="begin"/>
        </w:r>
        <w:r w:rsidR="00C17533">
          <w:rPr>
            <w:noProof/>
            <w:webHidden/>
          </w:rPr>
          <w:instrText xml:space="preserve"> PAGEREF _Toc349832301 \h </w:instrText>
        </w:r>
        <w:r w:rsidR="00C17533">
          <w:rPr>
            <w:noProof/>
            <w:webHidden/>
          </w:rPr>
        </w:r>
        <w:r w:rsidR="00C17533">
          <w:rPr>
            <w:noProof/>
            <w:webHidden/>
          </w:rPr>
          <w:fldChar w:fldCharType="separate"/>
        </w:r>
        <w:r w:rsidR="00B455C4">
          <w:rPr>
            <w:noProof/>
            <w:webHidden/>
          </w:rPr>
          <w:t>14</w:t>
        </w:r>
        <w:r w:rsidR="00C17533">
          <w:rPr>
            <w:noProof/>
            <w:webHidden/>
          </w:rPr>
          <w:fldChar w:fldCharType="end"/>
        </w:r>
      </w:hyperlink>
    </w:p>
    <w:p w:rsidR="00C17533" w:rsidRDefault="006B6AC1">
      <w:pPr>
        <w:pStyle w:val="TJ2"/>
        <w:tabs>
          <w:tab w:val="left" w:pos="640"/>
          <w:tab w:val="right" w:leader="dot" w:pos="9061"/>
        </w:tabs>
        <w:rPr>
          <w:rFonts w:asciiTheme="minorHAnsi" w:eastAsiaTheme="minorEastAsia" w:hAnsiTheme="minorHAnsi" w:cstheme="minorBidi"/>
          <w:smallCaps w:val="0"/>
          <w:noProof/>
          <w:sz w:val="22"/>
          <w:szCs w:val="22"/>
        </w:rPr>
      </w:pPr>
      <w:hyperlink w:anchor="_Toc349832302" w:history="1">
        <w:r w:rsidR="00C17533" w:rsidRPr="00590B3C">
          <w:rPr>
            <w:rStyle w:val="Hiperhivatkozs"/>
            <w:noProof/>
          </w:rPr>
          <w:t>18.</w:t>
        </w:r>
        <w:r w:rsidR="00C17533">
          <w:rPr>
            <w:rFonts w:asciiTheme="minorHAnsi" w:eastAsiaTheme="minorEastAsia" w:hAnsiTheme="minorHAnsi" w:cstheme="minorBidi"/>
            <w:smallCaps w:val="0"/>
            <w:noProof/>
            <w:sz w:val="22"/>
            <w:szCs w:val="22"/>
          </w:rPr>
          <w:tab/>
        </w:r>
        <w:r w:rsidR="00C17533" w:rsidRPr="00590B3C">
          <w:rPr>
            <w:rStyle w:val="Hiperhivatkozs"/>
            <w:noProof/>
          </w:rPr>
          <w:t>Hitelfelvételi szabályok:</w:t>
        </w:r>
        <w:r w:rsidR="00C17533">
          <w:rPr>
            <w:noProof/>
            <w:webHidden/>
          </w:rPr>
          <w:tab/>
        </w:r>
        <w:r w:rsidR="00C17533">
          <w:rPr>
            <w:noProof/>
            <w:webHidden/>
          </w:rPr>
          <w:fldChar w:fldCharType="begin"/>
        </w:r>
        <w:r w:rsidR="00C17533">
          <w:rPr>
            <w:noProof/>
            <w:webHidden/>
          </w:rPr>
          <w:instrText xml:space="preserve"> PAGEREF _Toc349832302 \h </w:instrText>
        </w:r>
        <w:r w:rsidR="00C17533">
          <w:rPr>
            <w:noProof/>
            <w:webHidden/>
          </w:rPr>
        </w:r>
        <w:r w:rsidR="00C17533">
          <w:rPr>
            <w:noProof/>
            <w:webHidden/>
          </w:rPr>
          <w:fldChar w:fldCharType="separate"/>
        </w:r>
        <w:r w:rsidR="00B455C4">
          <w:rPr>
            <w:noProof/>
            <w:webHidden/>
          </w:rPr>
          <w:t>14</w:t>
        </w:r>
        <w:r w:rsidR="00C17533">
          <w:rPr>
            <w:noProof/>
            <w:webHidden/>
          </w:rPr>
          <w:fldChar w:fldCharType="end"/>
        </w:r>
      </w:hyperlink>
    </w:p>
    <w:p w:rsidR="00C17533" w:rsidRDefault="006B6AC1">
      <w:pPr>
        <w:pStyle w:val="TJ2"/>
        <w:tabs>
          <w:tab w:val="left" w:pos="640"/>
          <w:tab w:val="right" w:leader="dot" w:pos="9061"/>
        </w:tabs>
        <w:rPr>
          <w:rFonts w:asciiTheme="minorHAnsi" w:eastAsiaTheme="minorEastAsia" w:hAnsiTheme="minorHAnsi" w:cstheme="minorBidi"/>
          <w:smallCaps w:val="0"/>
          <w:noProof/>
          <w:sz w:val="22"/>
          <w:szCs w:val="22"/>
        </w:rPr>
      </w:pPr>
      <w:hyperlink w:anchor="_Toc349832303" w:history="1">
        <w:r w:rsidR="00C17533" w:rsidRPr="00590B3C">
          <w:rPr>
            <w:rStyle w:val="Hiperhivatkozs"/>
            <w:noProof/>
          </w:rPr>
          <w:t>19.</w:t>
        </w:r>
        <w:r w:rsidR="00C17533">
          <w:rPr>
            <w:rFonts w:asciiTheme="minorHAnsi" w:eastAsiaTheme="minorEastAsia" w:hAnsiTheme="minorHAnsi" w:cstheme="minorBidi"/>
            <w:smallCaps w:val="0"/>
            <w:noProof/>
            <w:sz w:val="22"/>
            <w:szCs w:val="22"/>
          </w:rPr>
          <w:tab/>
        </w:r>
        <w:r w:rsidR="00C17533" w:rsidRPr="00590B3C">
          <w:rPr>
            <w:rStyle w:val="Hiperhivatkozs"/>
            <w:noProof/>
          </w:rPr>
          <w:t>Azon értékpapírokat kibocsátó vagy garantáló államok, önkormányzatok vagy nemzetközi szervezetek, amelyeknek az értékpapírjaiba az alap eszközeinek több, mint 35 százalékát fekteti:</w:t>
        </w:r>
        <w:r w:rsidR="00C17533">
          <w:rPr>
            <w:noProof/>
            <w:webHidden/>
          </w:rPr>
          <w:tab/>
        </w:r>
        <w:r w:rsidR="00C17533">
          <w:rPr>
            <w:noProof/>
            <w:webHidden/>
          </w:rPr>
          <w:fldChar w:fldCharType="begin"/>
        </w:r>
        <w:r w:rsidR="00C17533">
          <w:rPr>
            <w:noProof/>
            <w:webHidden/>
          </w:rPr>
          <w:instrText xml:space="preserve"> PAGEREF _Toc349832303 \h </w:instrText>
        </w:r>
        <w:r w:rsidR="00C17533">
          <w:rPr>
            <w:noProof/>
            <w:webHidden/>
          </w:rPr>
        </w:r>
        <w:r w:rsidR="00C17533">
          <w:rPr>
            <w:noProof/>
            <w:webHidden/>
          </w:rPr>
          <w:fldChar w:fldCharType="separate"/>
        </w:r>
        <w:r w:rsidR="00B455C4">
          <w:rPr>
            <w:noProof/>
            <w:webHidden/>
          </w:rPr>
          <w:t>14</w:t>
        </w:r>
        <w:r w:rsidR="00C17533">
          <w:rPr>
            <w:noProof/>
            <w:webHidden/>
          </w:rPr>
          <w:fldChar w:fldCharType="end"/>
        </w:r>
      </w:hyperlink>
    </w:p>
    <w:p w:rsidR="00C17533" w:rsidRDefault="006B6AC1">
      <w:pPr>
        <w:pStyle w:val="TJ2"/>
        <w:tabs>
          <w:tab w:val="left" w:pos="640"/>
          <w:tab w:val="right" w:leader="dot" w:pos="9061"/>
        </w:tabs>
        <w:rPr>
          <w:rFonts w:asciiTheme="minorHAnsi" w:eastAsiaTheme="minorEastAsia" w:hAnsiTheme="minorHAnsi" w:cstheme="minorBidi"/>
          <w:smallCaps w:val="0"/>
          <w:noProof/>
          <w:sz w:val="22"/>
          <w:szCs w:val="22"/>
        </w:rPr>
      </w:pPr>
      <w:hyperlink w:anchor="_Toc349832304" w:history="1">
        <w:r w:rsidR="00C17533" w:rsidRPr="00590B3C">
          <w:rPr>
            <w:rStyle w:val="Hiperhivatkozs"/>
            <w:noProof/>
          </w:rPr>
          <w:t>20.</w:t>
        </w:r>
        <w:r w:rsidR="00C17533">
          <w:rPr>
            <w:rFonts w:asciiTheme="minorHAnsi" w:eastAsiaTheme="minorEastAsia" w:hAnsiTheme="minorHAnsi" w:cstheme="minorBidi"/>
            <w:smallCaps w:val="0"/>
            <w:noProof/>
            <w:sz w:val="22"/>
            <w:szCs w:val="22"/>
          </w:rPr>
          <w:tab/>
        </w:r>
        <w:r w:rsidR="00C17533" w:rsidRPr="00590B3C">
          <w:rPr>
            <w:rStyle w:val="Hiperhivatkozs"/>
            <w:noProof/>
          </w:rPr>
          <w:t>A leképzett index bemutatása és az egyes értékpapírok indexbeli súlyától való eltérésének maximális nagysága</w:t>
        </w:r>
        <w:r w:rsidR="00C17533">
          <w:rPr>
            <w:noProof/>
            <w:webHidden/>
          </w:rPr>
          <w:tab/>
        </w:r>
        <w:r w:rsidR="00C17533">
          <w:rPr>
            <w:noProof/>
            <w:webHidden/>
          </w:rPr>
          <w:fldChar w:fldCharType="begin"/>
        </w:r>
        <w:r w:rsidR="00C17533">
          <w:rPr>
            <w:noProof/>
            <w:webHidden/>
          </w:rPr>
          <w:instrText xml:space="preserve"> PAGEREF _Toc349832304 \h </w:instrText>
        </w:r>
        <w:r w:rsidR="00C17533">
          <w:rPr>
            <w:noProof/>
            <w:webHidden/>
          </w:rPr>
        </w:r>
        <w:r w:rsidR="00C17533">
          <w:rPr>
            <w:noProof/>
            <w:webHidden/>
          </w:rPr>
          <w:fldChar w:fldCharType="separate"/>
        </w:r>
        <w:r w:rsidR="00B455C4">
          <w:rPr>
            <w:noProof/>
            <w:webHidden/>
          </w:rPr>
          <w:t>14</w:t>
        </w:r>
        <w:r w:rsidR="00C17533">
          <w:rPr>
            <w:noProof/>
            <w:webHidden/>
          </w:rPr>
          <w:fldChar w:fldCharType="end"/>
        </w:r>
      </w:hyperlink>
    </w:p>
    <w:p w:rsidR="00C17533" w:rsidRDefault="006B6AC1">
      <w:pPr>
        <w:pStyle w:val="TJ2"/>
        <w:tabs>
          <w:tab w:val="left" w:pos="640"/>
          <w:tab w:val="right" w:leader="dot" w:pos="9061"/>
        </w:tabs>
        <w:rPr>
          <w:rFonts w:asciiTheme="minorHAnsi" w:eastAsiaTheme="minorEastAsia" w:hAnsiTheme="minorHAnsi" w:cstheme="minorBidi"/>
          <w:smallCaps w:val="0"/>
          <w:noProof/>
          <w:sz w:val="22"/>
          <w:szCs w:val="22"/>
        </w:rPr>
      </w:pPr>
      <w:hyperlink w:anchor="_Toc349832305" w:history="1">
        <w:r w:rsidR="00C17533" w:rsidRPr="00590B3C">
          <w:rPr>
            <w:rStyle w:val="Hiperhivatkozs"/>
            <w:noProof/>
          </w:rPr>
          <w:t>21.</w:t>
        </w:r>
        <w:r w:rsidR="00C17533">
          <w:rPr>
            <w:rFonts w:asciiTheme="minorHAnsi" w:eastAsiaTheme="minorEastAsia" w:hAnsiTheme="minorHAnsi" w:cstheme="minorBidi"/>
            <w:smallCaps w:val="0"/>
            <w:noProof/>
            <w:sz w:val="22"/>
            <w:szCs w:val="22"/>
          </w:rPr>
          <w:tab/>
        </w:r>
        <w:r w:rsidR="00C17533" w:rsidRPr="00590B3C">
          <w:rPr>
            <w:rStyle w:val="Hiperhivatkozs"/>
            <w:noProof/>
          </w:rPr>
          <w:t>Azon befektetési alap befektetési politikája, amelybe a befektetési alapba fektető befektetési alap eszközeinek legalább 20 százalékát meghaladó mértékben kíván fektetni:</w:t>
        </w:r>
        <w:r w:rsidR="00C17533">
          <w:rPr>
            <w:noProof/>
            <w:webHidden/>
          </w:rPr>
          <w:tab/>
        </w:r>
        <w:r w:rsidR="00C17533">
          <w:rPr>
            <w:noProof/>
            <w:webHidden/>
          </w:rPr>
          <w:fldChar w:fldCharType="begin"/>
        </w:r>
        <w:r w:rsidR="00C17533">
          <w:rPr>
            <w:noProof/>
            <w:webHidden/>
          </w:rPr>
          <w:instrText xml:space="preserve"> PAGEREF _Toc349832305 \h </w:instrText>
        </w:r>
        <w:r w:rsidR="00C17533">
          <w:rPr>
            <w:noProof/>
            <w:webHidden/>
          </w:rPr>
        </w:r>
        <w:r w:rsidR="00C17533">
          <w:rPr>
            <w:noProof/>
            <w:webHidden/>
          </w:rPr>
          <w:fldChar w:fldCharType="separate"/>
        </w:r>
        <w:r w:rsidR="00B455C4">
          <w:rPr>
            <w:noProof/>
            <w:webHidden/>
          </w:rPr>
          <w:t>14</w:t>
        </w:r>
        <w:r w:rsidR="00C17533">
          <w:rPr>
            <w:noProof/>
            <w:webHidden/>
          </w:rPr>
          <w:fldChar w:fldCharType="end"/>
        </w:r>
      </w:hyperlink>
    </w:p>
    <w:p w:rsidR="00C17533" w:rsidRDefault="006B6AC1">
      <w:pPr>
        <w:pStyle w:val="TJ2"/>
        <w:tabs>
          <w:tab w:val="left" w:pos="640"/>
          <w:tab w:val="right" w:leader="dot" w:pos="9061"/>
        </w:tabs>
        <w:rPr>
          <w:rFonts w:asciiTheme="minorHAnsi" w:eastAsiaTheme="minorEastAsia" w:hAnsiTheme="minorHAnsi" w:cstheme="minorBidi"/>
          <w:smallCaps w:val="0"/>
          <w:noProof/>
          <w:sz w:val="22"/>
          <w:szCs w:val="22"/>
        </w:rPr>
      </w:pPr>
      <w:hyperlink w:anchor="_Toc349832306" w:history="1">
        <w:r w:rsidR="00C17533" w:rsidRPr="00590B3C">
          <w:rPr>
            <w:rStyle w:val="Hiperhivatkozs"/>
            <w:noProof/>
          </w:rPr>
          <w:t>22.</w:t>
        </w:r>
        <w:r w:rsidR="00C17533">
          <w:rPr>
            <w:rFonts w:asciiTheme="minorHAnsi" w:eastAsiaTheme="minorEastAsia" w:hAnsiTheme="minorHAnsi" w:cstheme="minorBidi"/>
            <w:smallCaps w:val="0"/>
            <w:noProof/>
            <w:sz w:val="22"/>
            <w:szCs w:val="22"/>
          </w:rPr>
          <w:tab/>
        </w:r>
        <w:r w:rsidR="00C17533" w:rsidRPr="00590B3C">
          <w:rPr>
            <w:rStyle w:val="Hiperhivatkozs"/>
            <w:noProof/>
          </w:rPr>
          <w:t>A cél-ÁÉKBV, illetve annak részalapjának megnevezése:</w:t>
        </w:r>
        <w:r w:rsidR="00C17533">
          <w:rPr>
            <w:noProof/>
            <w:webHidden/>
          </w:rPr>
          <w:tab/>
        </w:r>
        <w:r w:rsidR="00C17533">
          <w:rPr>
            <w:noProof/>
            <w:webHidden/>
          </w:rPr>
          <w:fldChar w:fldCharType="begin"/>
        </w:r>
        <w:r w:rsidR="00C17533">
          <w:rPr>
            <w:noProof/>
            <w:webHidden/>
          </w:rPr>
          <w:instrText xml:space="preserve"> PAGEREF _Toc349832306 \h </w:instrText>
        </w:r>
        <w:r w:rsidR="00C17533">
          <w:rPr>
            <w:noProof/>
            <w:webHidden/>
          </w:rPr>
        </w:r>
        <w:r w:rsidR="00C17533">
          <w:rPr>
            <w:noProof/>
            <w:webHidden/>
          </w:rPr>
          <w:fldChar w:fldCharType="separate"/>
        </w:r>
        <w:r w:rsidR="00B455C4">
          <w:rPr>
            <w:noProof/>
            <w:webHidden/>
          </w:rPr>
          <w:t>21</w:t>
        </w:r>
        <w:r w:rsidR="00C17533">
          <w:rPr>
            <w:noProof/>
            <w:webHidden/>
          </w:rPr>
          <w:fldChar w:fldCharType="end"/>
        </w:r>
      </w:hyperlink>
    </w:p>
    <w:p w:rsidR="00C17533" w:rsidRDefault="006B6AC1">
      <w:pPr>
        <w:pStyle w:val="TJ2"/>
        <w:tabs>
          <w:tab w:val="left" w:pos="640"/>
          <w:tab w:val="right" w:leader="dot" w:pos="9061"/>
        </w:tabs>
        <w:rPr>
          <w:rFonts w:asciiTheme="minorHAnsi" w:eastAsiaTheme="minorEastAsia" w:hAnsiTheme="minorHAnsi" w:cstheme="minorBidi"/>
          <w:smallCaps w:val="0"/>
          <w:noProof/>
          <w:sz w:val="22"/>
          <w:szCs w:val="22"/>
        </w:rPr>
      </w:pPr>
      <w:hyperlink w:anchor="_Toc349832307" w:history="1">
        <w:r w:rsidR="00C17533" w:rsidRPr="00590B3C">
          <w:rPr>
            <w:rStyle w:val="Hiperhivatkozs"/>
            <w:noProof/>
          </w:rPr>
          <w:t>23.</w:t>
        </w:r>
        <w:r w:rsidR="00C17533">
          <w:rPr>
            <w:rFonts w:asciiTheme="minorHAnsi" w:eastAsiaTheme="minorEastAsia" w:hAnsiTheme="minorHAnsi" w:cstheme="minorBidi"/>
            <w:smallCaps w:val="0"/>
            <w:noProof/>
            <w:sz w:val="22"/>
            <w:szCs w:val="22"/>
          </w:rPr>
          <w:tab/>
        </w:r>
        <w:r w:rsidR="00C17533" w:rsidRPr="00590B3C">
          <w:rPr>
            <w:rStyle w:val="Hiperhivatkozs"/>
            <w:noProof/>
          </w:rPr>
          <w:t>Az adott tárgykörre vonatkozó egyéb információk:</w:t>
        </w:r>
        <w:r w:rsidR="00C17533">
          <w:rPr>
            <w:noProof/>
            <w:webHidden/>
          </w:rPr>
          <w:tab/>
        </w:r>
        <w:r w:rsidR="00C17533">
          <w:rPr>
            <w:noProof/>
            <w:webHidden/>
          </w:rPr>
          <w:fldChar w:fldCharType="begin"/>
        </w:r>
        <w:r w:rsidR="00C17533">
          <w:rPr>
            <w:noProof/>
            <w:webHidden/>
          </w:rPr>
          <w:instrText xml:space="preserve"> PAGEREF _Toc349832307 \h </w:instrText>
        </w:r>
        <w:r w:rsidR="00C17533">
          <w:rPr>
            <w:noProof/>
            <w:webHidden/>
          </w:rPr>
        </w:r>
        <w:r w:rsidR="00C17533">
          <w:rPr>
            <w:noProof/>
            <w:webHidden/>
          </w:rPr>
          <w:fldChar w:fldCharType="separate"/>
        </w:r>
        <w:r w:rsidR="00B455C4">
          <w:rPr>
            <w:noProof/>
            <w:webHidden/>
          </w:rPr>
          <w:t>21</w:t>
        </w:r>
        <w:r w:rsidR="00C17533">
          <w:rPr>
            <w:noProof/>
            <w:webHidden/>
          </w:rPr>
          <w:fldChar w:fldCharType="end"/>
        </w:r>
      </w:hyperlink>
    </w:p>
    <w:p w:rsidR="00C17533" w:rsidRDefault="006B6AC1">
      <w:pPr>
        <w:pStyle w:val="TJ2"/>
        <w:tabs>
          <w:tab w:val="left" w:pos="640"/>
          <w:tab w:val="right" w:leader="dot" w:pos="9061"/>
        </w:tabs>
        <w:rPr>
          <w:rFonts w:asciiTheme="minorHAnsi" w:eastAsiaTheme="minorEastAsia" w:hAnsiTheme="minorHAnsi" w:cstheme="minorBidi"/>
          <w:smallCaps w:val="0"/>
          <w:noProof/>
          <w:sz w:val="22"/>
          <w:szCs w:val="22"/>
        </w:rPr>
      </w:pPr>
      <w:hyperlink w:anchor="_Toc349832308" w:history="1">
        <w:r w:rsidR="00C17533" w:rsidRPr="00590B3C">
          <w:rPr>
            <w:rStyle w:val="Hiperhivatkozs"/>
            <w:noProof/>
          </w:rPr>
          <w:t>24.</w:t>
        </w:r>
        <w:r w:rsidR="00C17533">
          <w:rPr>
            <w:rFonts w:asciiTheme="minorHAnsi" w:eastAsiaTheme="minorEastAsia" w:hAnsiTheme="minorHAnsi" w:cstheme="minorBidi"/>
            <w:smallCaps w:val="0"/>
            <w:noProof/>
            <w:sz w:val="22"/>
            <w:szCs w:val="22"/>
          </w:rPr>
          <w:tab/>
        </w:r>
        <w:r w:rsidR="00C17533" w:rsidRPr="00590B3C">
          <w:rPr>
            <w:rStyle w:val="Hiperhivatkozs"/>
            <w:noProof/>
          </w:rPr>
          <w:t>Származtatott ügyletekkel kapcsolatos információk:</w:t>
        </w:r>
        <w:r w:rsidR="00C17533">
          <w:rPr>
            <w:noProof/>
            <w:webHidden/>
          </w:rPr>
          <w:tab/>
        </w:r>
        <w:r w:rsidR="00C17533">
          <w:rPr>
            <w:noProof/>
            <w:webHidden/>
          </w:rPr>
          <w:fldChar w:fldCharType="begin"/>
        </w:r>
        <w:r w:rsidR="00C17533">
          <w:rPr>
            <w:noProof/>
            <w:webHidden/>
          </w:rPr>
          <w:instrText xml:space="preserve"> PAGEREF _Toc349832308 \h </w:instrText>
        </w:r>
        <w:r w:rsidR="00C17533">
          <w:rPr>
            <w:noProof/>
            <w:webHidden/>
          </w:rPr>
        </w:r>
        <w:r w:rsidR="00C17533">
          <w:rPr>
            <w:noProof/>
            <w:webHidden/>
          </w:rPr>
          <w:fldChar w:fldCharType="separate"/>
        </w:r>
        <w:r w:rsidR="00B455C4">
          <w:rPr>
            <w:noProof/>
            <w:webHidden/>
          </w:rPr>
          <w:t>21</w:t>
        </w:r>
        <w:r w:rsidR="00C17533">
          <w:rPr>
            <w:noProof/>
            <w:webHidden/>
          </w:rPr>
          <w:fldChar w:fldCharType="end"/>
        </w:r>
      </w:hyperlink>
    </w:p>
    <w:p w:rsidR="00C17533" w:rsidRDefault="006B6AC1">
      <w:pPr>
        <w:pStyle w:val="TJ2"/>
        <w:tabs>
          <w:tab w:val="left" w:pos="800"/>
          <w:tab w:val="right" w:leader="dot" w:pos="9061"/>
        </w:tabs>
        <w:rPr>
          <w:rFonts w:asciiTheme="minorHAnsi" w:eastAsiaTheme="minorEastAsia" w:hAnsiTheme="minorHAnsi" w:cstheme="minorBidi"/>
          <w:smallCaps w:val="0"/>
          <w:noProof/>
          <w:sz w:val="22"/>
          <w:szCs w:val="22"/>
        </w:rPr>
      </w:pPr>
      <w:hyperlink w:anchor="_Toc349832309" w:history="1">
        <w:r w:rsidR="00C17533" w:rsidRPr="00590B3C">
          <w:rPr>
            <w:rStyle w:val="Hiperhivatkozs"/>
            <w:noProof/>
          </w:rPr>
          <w:t>24.1.</w:t>
        </w:r>
        <w:r w:rsidR="00C17533">
          <w:rPr>
            <w:rFonts w:asciiTheme="minorHAnsi" w:eastAsiaTheme="minorEastAsia" w:hAnsiTheme="minorHAnsi" w:cstheme="minorBidi"/>
            <w:smallCaps w:val="0"/>
            <w:noProof/>
            <w:sz w:val="22"/>
            <w:szCs w:val="22"/>
          </w:rPr>
          <w:tab/>
        </w:r>
        <w:r w:rsidR="00C17533" w:rsidRPr="00590B3C">
          <w:rPr>
            <w:rStyle w:val="Hiperhivatkozs"/>
            <w:noProof/>
          </w:rPr>
          <w:t>Származtatott ügyletek alkalmazása esetén arra vonatkozó információ, hogy a származtatott ügyletek alkalmazására fedezeti célból vagy a befektetési célok megvalósítása érdekében van lehetőség:</w:t>
        </w:r>
        <w:r w:rsidR="00C17533">
          <w:rPr>
            <w:noProof/>
            <w:webHidden/>
          </w:rPr>
          <w:tab/>
        </w:r>
        <w:r w:rsidR="00C17533">
          <w:rPr>
            <w:noProof/>
            <w:webHidden/>
          </w:rPr>
          <w:fldChar w:fldCharType="begin"/>
        </w:r>
        <w:r w:rsidR="00C17533">
          <w:rPr>
            <w:noProof/>
            <w:webHidden/>
          </w:rPr>
          <w:instrText xml:space="preserve"> PAGEREF _Toc349832309 \h </w:instrText>
        </w:r>
        <w:r w:rsidR="00C17533">
          <w:rPr>
            <w:noProof/>
            <w:webHidden/>
          </w:rPr>
        </w:r>
        <w:r w:rsidR="00C17533">
          <w:rPr>
            <w:noProof/>
            <w:webHidden/>
          </w:rPr>
          <w:fldChar w:fldCharType="separate"/>
        </w:r>
        <w:r w:rsidR="00B455C4">
          <w:rPr>
            <w:noProof/>
            <w:webHidden/>
          </w:rPr>
          <w:t>21</w:t>
        </w:r>
        <w:r w:rsidR="00C17533">
          <w:rPr>
            <w:noProof/>
            <w:webHidden/>
          </w:rPr>
          <w:fldChar w:fldCharType="end"/>
        </w:r>
      </w:hyperlink>
    </w:p>
    <w:p w:rsidR="00C17533" w:rsidRDefault="006B6AC1">
      <w:pPr>
        <w:pStyle w:val="TJ2"/>
        <w:tabs>
          <w:tab w:val="left" w:pos="800"/>
          <w:tab w:val="right" w:leader="dot" w:pos="9061"/>
        </w:tabs>
        <w:rPr>
          <w:rFonts w:asciiTheme="minorHAnsi" w:eastAsiaTheme="minorEastAsia" w:hAnsiTheme="minorHAnsi" w:cstheme="minorBidi"/>
          <w:smallCaps w:val="0"/>
          <w:noProof/>
          <w:sz w:val="22"/>
          <w:szCs w:val="22"/>
        </w:rPr>
      </w:pPr>
      <w:hyperlink w:anchor="_Toc349832310" w:history="1">
        <w:r w:rsidR="00C17533" w:rsidRPr="00590B3C">
          <w:rPr>
            <w:rStyle w:val="Hiperhivatkozs"/>
            <w:noProof/>
          </w:rPr>
          <w:t>24.2.</w:t>
        </w:r>
        <w:r w:rsidR="00C17533">
          <w:rPr>
            <w:rFonts w:asciiTheme="minorHAnsi" w:eastAsiaTheme="minorEastAsia" w:hAnsiTheme="minorHAnsi" w:cstheme="minorBidi"/>
            <w:smallCaps w:val="0"/>
            <w:noProof/>
            <w:sz w:val="22"/>
            <w:szCs w:val="22"/>
          </w:rPr>
          <w:tab/>
        </w:r>
        <w:r w:rsidR="00C17533" w:rsidRPr="00590B3C">
          <w:rPr>
            <w:rStyle w:val="Hiperhivatkozs"/>
            <w:noProof/>
          </w:rPr>
          <w:t>A származtatott termékek illetve származtatott ügyletek lehetséges köre:</w:t>
        </w:r>
        <w:r w:rsidR="00C17533">
          <w:rPr>
            <w:noProof/>
            <w:webHidden/>
          </w:rPr>
          <w:tab/>
        </w:r>
        <w:r w:rsidR="00C17533">
          <w:rPr>
            <w:noProof/>
            <w:webHidden/>
          </w:rPr>
          <w:fldChar w:fldCharType="begin"/>
        </w:r>
        <w:r w:rsidR="00C17533">
          <w:rPr>
            <w:noProof/>
            <w:webHidden/>
          </w:rPr>
          <w:instrText xml:space="preserve"> PAGEREF _Toc349832310 \h </w:instrText>
        </w:r>
        <w:r w:rsidR="00C17533">
          <w:rPr>
            <w:noProof/>
            <w:webHidden/>
          </w:rPr>
        </w:r>
        <w:r w:rsidR="00C17533">
          <w:rPr>
            <w:noProof/>
            <w:webHidden/>
          </w:rPr>
          <w:fldChar w:fldCharType="separate"/>
        </w:r>
        <w:r w:rsidR="00B455C4">
          <w:rPr>
            <w:noProof/>
            <w:webHidden/>
          </w:rPr>
          <w:t>21</w:t>
        </w:r>
        <w:r w:rsidR="00C17533">
          <w:rPr>
            <w:noProof/>
            <w:webHidden/>
          </w:rPr>
          <w:fldChar w:fldCharType="end"/>
        </w:r>
      </w:hyperlink>
    </w:p>
    <w:p w:rsidR="00C17533" w:rsidRDefault="006B6AC1">
      <w:pPr>
        <w:pStyle w:val="TJ2"/>
        <w:tabs>
          <w:tab w:val="left" w:pos="800"/>
          <w:tab w:val="right" w:leader="dot" w:pos="9061"/>
        </w:tabs>
        <w:rPr>
          <w:rFonts w:asciiTheme="minorHAnsi" w:eastAsiaTheme="minorEastAsia" w:hAnsiTheme="minorHAnsi" w:cstheme="minorBidi"/>
          <w:smallCaps w:val="0"/>
          <w:noProof/>
          <w:sz w:val="22"/>
          <w:szCs w:val="22"/>
        </w:rPr>
      </w:pPr>
      <w:hyperlink w:anchor="_Toc349832311" w:history="1">
        <w:r w:rsidR="00C17533" w:rsidRPr="00590B3C">
          <w:rPr>
            <w:rStyle w:val="Hiperhivatkozs"/>
            <w:noProof/>
          </w:rPr>
          <w:t>24.3.</w:t>
        </w:r>
        <w:r w:rsidR="00C17533">
          <w:rPr>
            <w:rFonts w:asciiTheme="minorHAnsi" w:eastAsiaTheme="minorEastAsia" w:hAnsiTheme="minorHAnsi" w:cstheme="minorBidi"/>
            <w:smallCaps w:val="0"/>
            <w:noProof/>
            <w:sz w:val="22"/>
            <w:szCs w:val="22"/>
          </w:rPr>
          <w:tab/>
        </w:r>
        <w:r w:rsidR="00C17533" w:rsidRPr="00590B3C">
          <w:rPr>
            <w:rStyle w:val="Hiperhivatkozs"/>
            <w:noProof/>
          </w:rPr>
          <w:t>Azon jogszabályhely megjelölése, amelynek alapján a befektetési alap eltérési lehetőséggel élt:</w:t>
        </w:r>
        <w:r w:rsidR="00C17533">
          <w:rPr>
            <w:noProof/>
            <w:webHidden/>
          </w:rPr>
          <w:tab/>
        </w:r>
        <w:r w:rsidR="00C17533">
          <w:rPr>
            <w:noProof/>
            <w:webHidden/>
          </w:rPr>
          <w:fldChar w:fldCharType="begin"/>
        </w:r>
        <w:r w:rsidR="00C17533">
          <w:rPr>
            <w:noProof/>
            <w:webHidden/>
          </w:rPr>
          <w:instrText xml:space="preserve"> PAGEREF _Toc349832311 \h </w:instrText>
        </w:r>
        <w:r w:rsidR="00C17533">
          <w:rPr>
            <w:noProof/>
            <w:webHidden/>
          </w:rPr>
        </w:r>
        <w:r w:rsidR="00C17533">
          <w:rPr>
            <w:noProof/>
            <w:webHidden/>
          </w:rPr>
          <w:fldChar w:fldCharType="separate"/>
        </w:r>
        <w:r w:rsidR="00B455C4">
          <w:rPr>
            <w:noProof/>
            <w:webHidden/>
          </w:rPr>
          <w:t>21</w:t>
        </w:r>
        <w:r w:rsidR="00C17533">
          <w:rPr>
            <w:noProof/>
            <w:webHidden/>
          </w:rPr>
          <w:fldChar w:fldCharType="end"/>
        </w:r>
      </w:hyperlink>
    </w:p>
    <w:p w:rsidR="00C17533" w:rsidRDefault="006B6AC1">
      <w:pPr>
        <w:pStyle w:val="TJ2"/>
        <w:tabs>
          <w:tab w:val="left" w:pos="800"/>
          <w:tab w:val="right" w:leader="dot" w:pos="9061"/>
        </w:tabs>
        <w:rPr>
          <w:rFonts w:asciiTheme="minorHAnsi" w:eastAsiaTheme="minorEastAsia" w:hAnsiTheme="minorHAnsi" w:cstheme="minorBidi"/>
          <w:smallCaps w:val="0"/>
          <w:noProof/>
          <w:sz w:val="22"/>
          <w:szCs w:val="22"/>
        </w:rPr>
      </w:pPr>
      <w:hyperlink w:anchor="_Toc349832312" w:history="1">
        <w:r w:rsidR="00C17533" w:rsidRPr="00590B3C">
          <w:rPr>
            <w:rStyle w:val="Hiperhivatkozs"/>
            <w:noProof/>
          </w:rPr>
          <w:t>24.4.</w:t>
        </w:r>
        <w:r w:rsidR="00C17533">
          <w:rPr>
            <w:rFonts w:asciiTheme="minorHAnsi" w:eastAsiaTheme="minorEastAsia" w:hAnsiTheme="minorHAnsi" w:cstheme="minorBidi"/>
            <w:smallCaps w:val="0"/>
            <w:noProof/>
            <w:sz w:val="22"/>
            <w:szCs w:val="22"/>
          </w:rPr>
          <w:tab/>
        </w:r>
        <w:r w:rsidR="00C17533" w:rsidRPr="00590B3C">
          <w:rPr>
            <w:rStyle w:val="Hiperhivatkozs"/>
            <w:noProof/>
          </w:rPr>
          <w:t>A származtatott ügylettel kapcsolatos befektetési korlátok:</w:t>
        </w:r>
        <w:r w:rsidR="00C17533">
          <w:rPr>
            <w:noProof/>
            <w:webHidden/>
          </w:rPr>
          <w:tab/>
        </w:r>
        <w:r w:rsidR="00C17533">
          <w:rPr>
            <w:noProof/>
            <w:webHidden/>
          </w:rPr>
          <w:fldChar w:fldCharType="begin"/>
        </w:r>
        <w:r w:rsidR="00C17533">
          <w:rPr>
            <w:noProof/>
            <w:webHidden/>
          </w:rPr>
          <w:instrText xml:space="preserve"> PAGEREF _Toc349832312 \h </w:instrText>
        </w:r>
        <w:r w:rsidR="00C17533">
          <w:rPr>
            <w:noProof/>
            <w:webHidden/>
          </w:rPr>
        </w:r>
        <w:r w:rsidR="00C17533">
          <w:rPr>
            <w:noProof/>
            <w:webHidden/>
          </w:rPr>
          <w:fldChar w:fldCharType="separate"/>
        </w:r>
        <w:r w:rsidR="00B455C4">
          <w:rPr>
            <w:noProof/>
            <w:webHidden/>
          </w:rPr>
          <w:t>21</w:t>
        </w:r>
        <w:r w:rsidR="00C17533">
          <w:rPr>
            <w:noProof/>
            <w:webHidden/>
          </w:rPr>
          <w:fldChar w:fldCharType="end"/>
        </w:r>
      </w:hyperlink>
    </w:p>
    <w:p w:rsidR="00C17533" w:rsidRDefault="006B6AC1">
      <w:pPr>
        <w:pStyle w:val="TJ2"/>
        <w:tabs>
          <w:tab w:val="left" w:pos="800"/>
          <w:tab w:val="right" w:leader="dot" w:pos="9061"/>
        </w:tabs>
        <w:rPr>
          <w:rFonts w:asciiTheme="minorHAnsi" w:eastAsiaTheme="minorEastAsia" w:hAnsiTheme="minorHAnsi" w:cstheme="minorBidi"/>
          <w:smallCaps w:val="0"/>
          <w:noProof/>
          <w:sz w:val="22"/>
          <w:szCs w:val="22"/>
        </w:rPr>
      </w:pPr>
      <w:hyperlink w:anchor="_Toc349832313" w:history="1">
        <w:r w:rsidR="00C17533" w:rsidRPr="00590B3C">
          <w:rPr>
            <w:rStyle w:val="Hiperhivatkozs"/>
            <w:noProof/>
          </w:rPr>
          <w:t>24.5.</w:t>
        </w:r>
        <w:r w:rsidR="00C17533">
          <w:rPr>
            <w:rFonts w:asciiTheme="minorHAnsi" w:eastAsiaTheme="minorEastAsia" w:hAnsiTheme="minorHAnsi" w:cstheme="minorBidi"/>
            <w:smallCaps w:val="0"/>
            <w:noProof/>
            <w:sz w:val="22"/>
            <w:szCs w:val="22"/>
          </w:rPr>
          <w:tab/>
        </w:r>
        <w:r w:rsidR="00C17533" w:rsidRPr="00590B3C">
          <w:rPr>
            <w:rStyle w:val="Hiperhivatkozs"/>
            <w:noProof/>
          </w:rPr>
          <w:t>Az egyes eszközökben meglévő pozíciók nettósítási szabályai:</w:t>
        </w:r>
        <w:r w:rsidR="00C17533">
          <w:rPr>
            <w:noProof/>
            <w:webHidden/>
          </w:rPr>
          <w:tab/>
        </w:r>
        <w:r w:rsidR="00C17533">
          <w:rPr>
            <w:noProof/>
            <w:webHidden/>
          </w:rPr>
          <w:fldChar w:fldCharType="begin"/>
        </w:r>
        <w:r w:rsidR="00C17533">
          <w:rPr>
            <w:noProof/>
            <w:webHidden/>
          </w:rPr>
          <w:instrText xml:space="preserve"> PAGEREF _Toc349832313 \h </w:instrText>
        </w:r>
        <w:r w:rsidR="00C17533">
          <w:rPr>
            <w:noProof/>
            <w:webHidden/>
          </w:rPr>
        </w:r>
        <w:r w:rsidR="00C17533">
          <w:rPr>
            <w:noProof/>
            <w:webHidden/>
          </w:rPr>
          <w:fldChar w:fldCharType="separate"/>
        </w:r>
        <w:r w:rsidR="00B455C4">
          <w:rPr>
            <w:noProof/>
            <w:webHidden/>
          </w:rPr>
          <w:t>22</w:t>
        </w:r>
        <w:r w:rsidR="00C17533">
          <w:rPr>
            <w:noProof/>
            <w:webHidden/>
          </w:rPr>
          <w:fldChar w:fldCharType="end"/>
        </w:r>
      </w:hyperlink>
    </w:p>
    <w:p w:rsidR="00C17533" w:rsidRDefault="006B6AC1">
      <w:pPr>
        <w:pStyle w:val="TJ2"/>
        <w:tabs>
          <w:tab w:val="left" w:pos="800"/>
          <w:tab w:val="right" w:leader="dot" w:pos="9061"/>
        </w:tabs>
        <w:rPr>
          <w:rFonts w:asciiTheme="minorHAnsi" w:eastAsiaTheme="minorEastAsia" w:hAnsiTheme="minorHAnsi" w:cstheme="minorBidi"/>
          <w:smallCaps w:val="0"/>
          <w:noProof/>
          <w:sz w:val="22"/>
          <w:szCs w:val="22"/>
        </w:rPr>
      </w:pPr>
      <w:hyperlink w:anchor="_Toc349832314" w:history="1">
        <w:r w:rsidR="00C17533" w:rsidRPr="00590B3C">
          <w:rPr>
            <w:rStyle w:val="Hiperhivatkozs"/>
            <w:noProof/>
          </w:rPr>
          <w:t>24.6.</w:t>
        </w:r>
        <w:r w:rsidR="00C17533">
          <w:rPr>
            <w:rFonts w:asciiTheme="minorHAnsi" w:eastAsiaTheme="minorEastAsia" w:hAnsiTheme="minorHAnsi" w:cstheme="minorBidi"/>
            <w:smallCaps w:val="0"/>
            <w:noProof/>
            <w:sz w:val="22"/>
            <w:szCs w:val="22"/>
          </w:rPr>
          <w:tab/>
        </w:r>
        <w:r w:rsidR="00C17533" w:rsidRPr="00590B3C">
          <w:rPr>
            <w:rStyle w:val="Hiperhivatkozs"/>
            <w:noProof/>
          </w:rPr>
          <w:t>Az indexekben, egyéb összetett eszközökben meglévő pozíciók kezelése:</w:t>
        </w:r>
        <w:r w:rsidR="00C17533">
          <w:rPr>
            <w:noProof/>
            <w:webHidden/>
          </w:rPr>
          <w:tab/>
        </w:r>
        <w:r w:rsidR="00C17533">
          <w:rPr>
            <w:noProof/>
            <w:webHidden/>
          </w:rPr>
          <w:fldChar w:fldCharType="begin"/>
        </w:r>
        <w:r w:rsidR="00C17533">
          <w:rPr>
            <w:noProof/>
            <w:webHidden/>
          </w:rPr>
          <w:instrText xml:space="preserve"> PAGEREF _Toc349832314 \h </w:instrText>
        </w:r>
        <w:r w:rsidR="00C17533">
          <w:rPr>
            <w:noProof/>
            <w:webHidden/>
          </w:rPr>
        </w:r>
        <w:r w:rsidR="00C17533">
          <w:rPr>
            <w:noProof/>
            <w:webHidden/>
          </w:rPr>
          <w:fldChar w:fldCharType="separate"/>
        </w:r>
        <w:r w:rsidR="00B455C4">
          <w:rPr>
            <w:noProof/>
            <w:webHidden/>
          </w:rPr>
          <w:t>22</w:t>
        </w:r>
        <w:r w:rsidR="00C17533">
          <w:rPr>
            <w:noProof/>
            <w:webHidden/>
          </w:rPr>
          <w:fldChar w:fldCharType="end"/>
        </w:r>
      </w:hyperlink>
    </w:p>
    <w:p w:rsidR="00C17533" w:rsidRDefault="006B6AC1">
      <w:pPr>
        <w:pStyle w:val="TJ2"/>
        <w:tabs>
          <w:tab w:val="left" w:pos="800"/>
          <w:tab w:val="right" w:leader="dot" w:pos="9061"/>
        </w:tabs>
        <w:rPr>
          <w:rFonts w:asciiTheme="minorHAnsi" w:eastAsiaTheme="minorEastAsia" w:hAnsiTheme="minorHAnsi" w:cstheme="minorBidi"/>
          <w:smallCaps w:val="0"/>
          <w:noProof/>
          <w:sz w:val="22"/>
          <w:szCs w:val="22"/>
        </w:rPr>
      </w:pPr>
      <w:hyperlink w:anchor="_Toc349832315" w:history="1">
        <w:r w:rsidR="00C17533" w:rsidRPr="00590B3C">
          <w:rPr>
            <w:rStyle w:val="Hiperhivatkozs"/>
            <w:noProof/>
          </w:rPr>
          <w:t>24.7.</w:t>
        </w:r>
        <w:r w:rsidR="00C17533">
          <w:rPr>
            <w:rFonts w:asciiTheme="minorHAnsi" w:eastAsiaTheme="minorEastAsia" w:hAnsiTheme="minorHAnsi" w:cstheme="minorBidi"/>
            <w:smallCaps w:val="0"/>
            <w:noProof/>
            <w:sz w:val="22"/>
            <w:szCs w:val="22"/>
          </w:rPr>
          <w:tab/>
        </w:r>
        <w:r w:rsidR="00C17533" w:rsidRPr="00590B3C">
          <w:rPr>
            <w:rStyle w:val="Hiperhivatkozs"/>
            <w:noProof/>
          </w:rPr>
          <w:t>Az értékeléshez felhasználni kívánt árinformációk forrása:</w:t>
        </w:r>
        <w:r w:rsidR="00C17533">
          <w:rPr>
            <w:noProof/>
            <w:webHidden/>
          </w:rPr>
          <w:tab/>
        </w:r>
        <w:r w:rsidR="00C17533">
          <w:rPr>
            <w:noProof/>
            <w:webHidden/>
          </w:rPr>
          <w:fldChar w:fldCharType="begin"/>
        </w:r>
        <w:r w:rsidR="00C17533">
          <w:rPr>
            <w:noProof/>
            <w:webHidden/>
          </w:rPr>
          <w:instrText xml:space="preserve"> PAGEREF _Toc349832315 \h </w:instrText>
        </w:r>
        <w:r w:rsidR="00C17533">
          <w:rPr>
            <w:noProof/>
            <w:webHidden/>
          </w:rPr>
        </w:r>
        <w:r w:rsidR="00C17533">
          <w:rPr>
            <w:noProof/>
            <w:webHidden/>
          </w:rPr>
          <w:fldChar w:fldCharType="separate"/>
        </w:r>
        <w:r w:rsidR="00B455C4">
          <w:rPr>
            <w:noProof/>
            <w:webHidden/>
          </w:rPr>
          <w:t>23</w:t>
        </w:r>
        <w:r w:rsidR="00C17533">
          <w:rPr>
            <w:noProof/>
            <w:webHidden/>
          </w:rPr>
          <w:fldChar w:fldCharType="end"/>
        </w:r>
      </w:hyperlink>
    </w:p>
    <w:p w:rsidR="00C17533" w:rsidRDefault="006B6AC1">
      <w:pPr>
        <w:pStyle w:val="TJ2"/>
        <w:tabs>
          <w:tab w:val="left" w:pos="800"/>
          <w:tab w:val="right" w:leader="dot" w:pos="9061"/>
        </w:tabs>
        <w:rPr>
          <w:rFonts w:asciiTheme="minorHAnsi" w:eastAsiaTheme="minorEastAsia" w:hAnsiTheme="minorHAnsi" w:cstheme="minorBidi"/>
          <w:smallCaps w:val="0"/>
          <w:noProof/>
          <w:sz w:val="22"/>
          <w:szCs w:val="22"/>
        </w:rPr>
      </w:pPr>
      <w:hyperlink w:anchor="_Toc349832316" w:history="1">
        <w:r w:rsidR="00C17533" w:rsidRPr="00590B3C">
          <w:rPr>
            <w:rStyle w:val="Hiperhivatkozs"/>
            <w:noProof/>
          </w:rPr>
          <w:t>24.8.</w:t>
        </w:r>
        <w:r w:rsidR="00C17533">
          <w:rPr>
            <w:rFonts w:asciiTheme="minorHAnsi" w:eastAsiaTheme="minorEastAsia" w:hAnsiTheme="minorHAnsi" w:cstheme="minorBidi"/>
            <w:smallCaps w:val="0"/>
            <w:noProof/>
            <w:sz w:val="22"/>
            <w:szCs w:val="22"/>
          </w:rPr>
          <w:tab/>
        </w:r>
        <w:r w:rsidR="00C17533" w:rsidRPr="00590B3C">
          <w:rPr>
            <w:rStyle w:val="Hiperhivatkozs"/>
            <w:noProof/>
          </w:rPr>
          <w:t>Amennyiben azon származtatott ügylet jellemzői, amelybe a befektetési alap befektet, különböznek a jogszabály által a származtatott ügyletekre vonatkozóan meghatározott általános jellemzőktől, az erre vonatkozó figyelemfelhívás, meghatározva az adott származtatott ügylet jellemzőit és kockázatát:</w:t>
        </w:r>
        <w:r w:rsidR="00C17533">
          <w:rPr>
            <w:noProof/>
            <w:webHidden/>
          </w:rPr>
          <w:tab/>
        </w:r>
        <w:r w:rsidR="00C17533">
          <w:rPr>
            <w:noProof/>
            <w:webHidden/>
          </w:rPr>
          <w:fldChar w:fldCharType="begin"/>
        </w:r>
        <w:r w:rsidR="00C17533">
          <w:rPr>
            <w:noProof/>
            <w:webHidden/>
          </w:rPr>
          <w:instrText xml:space="preserve"> PAGEREF _Toc349832316 \h </w:instrText>
        </w:r>
        <w:r w:rsidR="00C17533">
          <w:rPr>
            <w:noProof/>
            <w:webHidden/>
          </w:rPr>
        </w:r>
        <w:r w:rsidR="00C17533">
          <w:rPr>
            <w:noProof/>
            <w:webHidden/>
          </w:rPr>
          <w:fldChar w:fldCharType="separate"/>
        </w:r>
        <w:r w:rsidR="00B455C4">
          <w:rPr>
            <w:noProof/>
            <w:webHidden/>
          </w:rPr>
          <w:t>23</w:t>
        </w:r>
        <w:r w:rsidR="00C17533">
          <w:rPr>
            <w:noProof/>
            <w:webHidden/>
          </w:rPr>
          <w:fldChar w:fldCharType="end"/>
        </w:r>
      </w:hyperlink>
    </w:p>
    <w:p w:rsidR="00C17533" w:rsidRDefault="006B6AC1">
      <w:pPr>
        <w:pStyle w:val="TJ2"/>
        <w:tabs>
          <w:tab w:val="left" w:pos="800"/>
          <w:tab w:val="right" w:leader="dot" w:pos="9061"/>
        </w:tabs>
        <w:rPr>
          <w:rFonts w:asciiTheme="minorHAnsi" w:eastAsiaTheme="minorEastAsia" w:hAnsiTheme="minorHAnsi" w:cstheme="minorBidi"/>
          <w:smallCaps w:val="0"/>
          <w:noProof/>
          <w:sz w:val="22"/>
          <w:szCs w:val="22"/>
        </w:rPr>
      </w:pPr>
      <w:hyperlink w:anchor="_Toc349832317" w:history="1">
        <w:r w:rsidR="00C17533" w:rsidRPr="00590B3C">
          <w:rPr>
            <w:rStyle w:val="Hiperhivatkozs"/>
            <w:noProof/>
          </w:rPr>
          <w:t>24.9.</w:t>
        </w:r>
        <w:r w:rsidR="00C17533">
          <w:rPr>
            <w:rFonts w:asciiTheme="minorHAnsi" w:eastAsiaTheme="minorEastAsia" w:hAnsiTheme="minorHAnsi" w:cstheme="minorBidi"/>
            <w:smallCaps w:val="0"/>
            <w:noProof/>
            <w:sz w:val="22"/>
            <w:szCs w:val="22"/>
          </w:rPr>
          <w:tab/>
        </w:r>
        <w:r w:rsidR="00C17533" w:rsidRPr="00590B3C">
          <w:rPr>
            <w:rStyle w:val="Hiperhivatkozs"/>
            <w:noProof/>
          </w:rPr>
          <w:t>Az adott tárgykörre vonatkozó egyéb információk:</w:t>
        </w:r>
        <w:r w:rsidR="00C17533">
          <w:rPr>
            <w:noProof/>
            <w:webHidden/>
          </w:rPr>
          <w:tab/>
        </w:r>
        <w:r w:rsidR="00C17533">
          <w:rPr>
            <w:noProof/>
            <w:webHidden/>
          </w:rPr>
          <w:fldChar w:fldCharType="begin"/>
        </w:r>
        <w:r w:rsidR="00C17533">
          <w:rPr>
            <w:noProof/>
            <w:webHidden/>
          </w:rPr>
          <w:instrText xml:space="preserve"> PAGEREF _Toc349832317 \h </w:instrText>
        </w:r>
        <w:r w:rsidR="00C17533">
          <w:rPr>
            <w:noProof/>
            <w:webHidden/>
          </w:rPr>
        </w:r>
        <w:r w:rsidR="00C17533">
          <w:rPr>
            <w:noProof/>
            <w:webHidden/>
          </w:rPr>
          <w:fldChar w:fldCharType="separate"/>
        </w:r>
        <w:r w:rsidR="00B455C4">
          <w:rPr>
            <w:noProof/>
            <w:webHidden/>
          </w:rPr>
          <w:t>23</w:t>
        </w:r>
        <w:r w:rsidR="00C17533">
          <w:rPr>
            <w:noProof/>
            <w:webHidden/>
          </w:rPr>
          <w:fldChar w:fldCharType="end"/>
        </w:r>
      </w:hyperlink>
    </w:p>
    <w:p w:rsidR="00C17533" w:rsidRDefault="006B6AC1">
      <w:pPr>
        <w:pStyle w:val="TJ2"/>
        <w:tabs>
          <w:tab w:val="left" w:pos="640"/>
          <w:tab w:val="right" w:leader="dot" w:pos="9061"/>
        </w:tabs>
        <w:rPr>
          <w:rFonts w:asciiTheme="minorHAnsi" w:eastAsiaTheme="minorEastAsia" w:hAnsiTheme="minorHAnsi" w:cstheme="minorBidi"/>
          <w:smallCaps w:val="0"/>
          <w:noProof/>
          <w:sz w:val="22"/>
          <w:szCs w:val="22"/>
        </w:rPr>
      </w:pPr>
      <w:hyperlink w:anchor="_Toc349832318" w:history="1">
        <w:r w:rsidR="00C17533" w:rsidRPr="00590B3C">
          <w:rPr>
            <w:rStyle w:val="Hiperhivatkozs"/>
            <w:noProof/>
          </w:rPr>
          <w:t>25.</w:t>
        </w:r>
        <w:r w:rsidR="00C17533">
          <w:rPr>
            <w:rFonts w:asciiTheme="minorHAnsi" w:eastAsiaTheme="minorEastAsia" w:hAnsiTheme="minorHAnsi" w:cstheme="minorBidi"/>
            <w:smallCaps w:val="0"/>
            <w:noProof/>
            <w:sz w:val="22"/>
            <w:szCs w:val="22"/>
          </w:rPr>
          <w:tab/>
        </w:r>
        <w:r w:rsidR="00C17533" w:rsidRPr="00590B3C">
          <w:rPr>
            <w:rStyle w:val="Hiperhivatkozs"/>
            <w:noProof/>
          </w:rPr>
          <w:t>Ingatlanalapra vonatkozó speciális rendelkezések:</w:t>
        </w:r>
        <w:r w:rsidR="00C17533">
          <w:rPr>
            <w:noProof/>
            <w:webHidden/>
          </w:rPr>
          <w:tab/>
        </w:r>
        <w:r w:rsidR="00C17533">
          <w:rPr>
            <w:noProof/>
            <w:webHidden/>
          </w:rPr>
          <w:fldChar w:fldCharType="begin"/>
        </w:r>
        <w:r w:rsidR="00C17533">
          <w:rPr>
            <w:noProof/>
            <w:webHidden/>
          </w:rPr>
          <w:instrText xml:space="preserve"> PAGEREF _Toc349832318 \h </w:instrText>
        </w:r>
        <w:r w:rsidR="00C17533">
          <w:rPr>
            <w:noProof/>
            <w:webHidden/>
          </w:rPr>
        </w:r>
        <w:r w:rsidR="00C17533">
          <w:rPr>
            <w:noProof/>
            <w:webHidden/>
          </w:rPr>
          <w:fldChar w:fldCharType="separate"/>
        </w:r>
        <w:r w:rsidR="00B455C4">
          <w:rPr>
            <w:noProof/>
            <w:webHidden/>
          </w:rPr>
          <w:t>23</w:t>
        </w:r>
        <w:r w:rsidR="00C17533">
          <w:rPr>
            <w:noProof/>
            <w:webHidden/>
          </w:rPr>
          <w:fldChar w:fldCharType="end"/>
        </w:r>
      </w:hyperlink>
    </w:p>
    <w:p w:rsidR="00C17533" w:rsidRDefault="006B6AC1">
      <w:pPr>
        <w:pStyle w:val="TJ2"/>
        <w:tabs>
          <w:tab w:val="left" w:pos="800"/>
          <w:tab w:val="right" w:leader="dot" w:pos="9061"/>
        </w:tabs>
        <w:rPr>
          <w:rFonts w:asciiTheme="minorHAnsi" w:eastAsiaTheme="minorEastAsia" w:hAnsiTheme="minorHAnsi" w:cstheme="minorBidi"/>
          <w:smallCaps w:val="0"/>
          <w:noProof/>
          <w:sz w:val="22"/>
          <w:szCs w:val="22"/>
        </w:rPr>
      </w:pPr>
      <w:hyperlink w:anchor="_Toc349832319" w:history="1">
        <w:r w:rsidR="00C17533" w:rsidRPr="00590B3C">
          <w:rPr>
            <w:rStyle w:val="Hiperhivatkozs"/>
            <w:noProof/>
          </w:rPr>
          <w:t>25.1.</w:t>
        </w:r>
        <w:r w:rsidR="00C17533">
          <w:rPr>
            <w:rFonts w:asciiTheme="minorHAnsi" w:eastAsiaTheme="minorEastAsia" w:hAnsiTheme="minorHAnsi" w:cstheme="minorBidi"/>
            <w:smallCaps w:val="0"/>
            <w:noProof/>
            <w:sz w:val="22"/>
            <w:szCs w:val="22"/>
          </w:rPr>
          <w:tab/>
        </w:r>
        <w:r w:rsidR="00C17533" w:rsidRPr="00590B3C">
          <w:rPr>
            <w:rStyle w:val="Hiperhivatkozs"/>
            <w:noProof/>
          </w:rPr>
          <w:t>Annak megjelölése, hogy hozamteremtő vagy értéknövelési céllal kiválasztandó ingatlanokba fektet az ingatlanalap</w:t>
        </w:r>
        <w:r w:rsidR="00C17533">
          <w:rPr>
            <w:noProof/>
            <w:webHidden/>
          </w:rPr>
          <w:tab/>
        </w:r>
        <w:r w:rsidR="00C17533">
          <w:rPr>
            <w:noProof/>
            <w:webHidden/>
          </w:rPr>
          <w:fldChar w:fldCharType="begin"/>
        </w:r>
        <w:r w:rsidR="00C17533">
          <w:rPr>
            <w:noProof/>
            <w:webHidden/>
          </w:rPr>
          <w:instrText xml:space="preserve"> PAGEREF _Toc349832319 \h </w:instrText>
        </w:r>
        <w:r w:rsidR="00C17533">
          <w:rPr>
            <w:noProof/>
            <w:webHidden/>
          </w:rPr>
        </w:r>
        <w:r w:rsidR="00C17533">
          <w:rPr>
            <w:noProof/>
            <w:webHidden/>
          </w:rPr>
          <w:fldChar w:fldCharType="separate"/>
        </w:r>
        <w:r w:rsidR="00B455C4">
          <w:rPr>
            <w:noProof/>
            <w:webHidden/>
          </w:rPr>
          <w:t>23</w:t>
        </w:r>
        <w:r w:rsidR="00C17533">
          <w:rPr>
            <w:noProof/>
            <w:webHidden/>
          </w:rPr>
          <w:fldChar w:fldCharType="end"/>
        </w:r>
      </w:hyperlink>
    </w:p>
    <w:p w:rsidR="00C17533" w:rsidRDefault="006B6AC1">
      <w:pPr>
        <w:pStyle w:val="TJ2"/>
        <w:tabs>
          <w:tab w:val="left" w:pos="800"/>
          <w:tab w:val="right" w:leader="dot" w:pos="9061"/>
        </w:tabs>
        <w:rPr>
          <w:rFonts w:asciiTheme="minorHAnsi" w:eastAsiaTheme="minorEastAsia" w:hAnsiTheme="minorHAnsi" w:cstheme="minorBidi"/>
          <w:smallCaps w:val="0"/>
          <w:noProof/>
          <w:sz w:val="22"/>
          <w:szCs w:val="22"/>
        </w:rPr>
      </w:pPr>
      <w:hyperlink w:anchor="_Toc349832320" w:history="1">
        <w:r w:rsidR="00C17533" w:rsidRPr="00590B3C">
          <w:rPr>
            <w:rStyle w:val="Hiperhivatkozs"/>
            <w:noProof/>
          </w:rPr>
          <w:t>25.2.</w:t>
        </w:r>
        <w:r w:rsidR="00C17533">
          <w:rPr>
            <w:rFonts w:asciiTheme="minorHAnsi" w:eastAsiaTheme="minorEastAsia" w:hAnsiTheme="minorHAnsi" w:cstheme="minorBidi"/>
            <w:smallCaps w:val="0"/>
            <w:noProof/>
            <w:sz w:val="22"/>
            <w:szCs w:val="22"/>
          </w:rPr>
          <w:tab/>
        </w:r>
        <w:r w:rsidR="00C17533" w:rsidRPr="00590B3C">
          <w:rPr>
            <w:rStyle w:val="Hiperhivatkozs"/>
            <w:noProof/>
          </w:rPr>
          <w:t>Annak megjelölése, hogy milyen funkciójú (lakás, kereskedelmi, ipari stb.) ingatlanokba fektet az ingatlanalap</w:t>
        </w:r>
        <w:r w:rsidR="00C17533">
          <w:rPr>
            <w:noProof/>
            <w:webHidden/>
          </w:rPr>
          <w:tab/>
        </w:r>
        <w:r w:rsidR="00C17533">
          <w:rPr>
            <w:noProof/>
            <w:webHidden/>
          </w:rPr>
          <w:fldChar w:fldCharType="begin"/>
        </w:r>
        <w:r w:rsidR="00C17533">
          <w:rPr>
            <w:noProof/>
            <w:webHidden/>
          </w:rPr>
          <w:instrText xml:space="preserve"> PAGEREF _Toc349832320 \h </w:instrText>
        </w:r>
        <w:r w:rsidR="00C17533">
          <w:rPr>
            <w:noProof/>
            <w:webHidden/>
          </w:rPr>
        </w:r>
        <w:r w:rsidR="00C17533">
          <w:rPr>
            <w:noProof/>
            <w:webHidden/>
          </w:rPr>
          <w:fldChar w:fldCharType="separate"/>
        </w:r>
        <w:r w:rsidR="00B455C4">
          <w:rPr>
            <w:noProof/>
            <w:webHidden/>
          </w:rPr>
          <w:t>23</w:t>
        </w:r>
        <w:r w:rsidR="00C17533">
          <w:rPr>
            <w:noProof/>
            <w:webHidden/>
          </w:rPr>
          <w:fldChar w:fldCharType="end"/>
        </w:r>
      </w:hyperlink>
    </w:p>
    <w:p w:rsidR="00C17533" w:rsidRDefault="006B6AC1">
      <w:pPr>
        <w:pStyle w:val="TJ2"/>
        <w:tabs>
          <w:tab w:val="left" w:pos="800"/>
          <w:tab w:val="right" w:leader="dot" w:pos="9061"/>
        </w:tabs>
        <w:rPr>
          <w:rFonts w:asciiTheme="minorHAnsi" w:eastAsiaTheme="minorEastAsia" w:hAnsiTheme="minorHAnsi" w:cstheme="minorBidi"/>
          <w:smallCaps w:val="0"/>
          <w:noProof/>
          <w:sz w:val="22"/>
          <w:szCs w:val="22"/>
        </w:rPr>
      </w:pPr>
      <w:hyperlink w:anchor="_Toc349832321" w:history="1">
        <w:r w:rsidR="00C17533" w:rsidRPr="00590B3C">
          <w:rPr>
            <w:rStyle w:val="Hiperhivatkozs"/>
            <w:noProof/>
          </w:rPr>
          <w:t>25.3.</w:t>
        </w:r>
        <w:r w:rsidR="00C17533">
          <w:rPr>
            <w:rFonts w:asciiTheme="minorHAnsi" w:eastAsiaTheme="minorEastAsia" w:hAnsiTheme="minorHAnsi" w:cstheme="minorBidi"/>
            <w:smallCaps w:val="0"/>
            <w:noProof/>
            <w:sz w:val="22"/>
            <w:szCs w:val="22"/>
          </w:rPr>
          <w:tab/>
        </w:r>
        <w:r w:rsidR="00C17533" w:rsidRPr="00590B3C">
          <w:rPr>
            <w:rStyle w:val="Hiperhivatkozs"/>
            <w:noProof/>
          </w:rPr>
          <w:t>Annak megjelölése, hogy mely országokban fektet be az ingatlanalap</w:t>
        </w:r>
        <w:r w:rsidR="00C17533">
          <w:rPr>
            <w:noProof/>
            <w:webHidden/>
          </w:rPr>
          <w:tab/>
        </w:r>
        <w:r w:rsidR="00C17533">
          <w:rPr>
            <w:noProof/>
            <w:webHidden/>
          </w:rPr>
          <w:fldChar w:fldCharType="begin"/>
        </w:r>
        <w:r w:rsidR="00C17533">
          <w:rPr>
            <w:noProof/>
            <w:webHidden/>
          </w:rPr>
          <w:instrText xml:space="preserve"> PAGEREF _Toc349832321 \h </w:instrText>
        </w:r>
        <w:r w:rsidR="00C17533">
          <w:rPr>
            <w:noProof/>
            <w:webHidden/>
          </w:rPr>
        </w:r>
        <w:r w:rsidR="00C17533">
          <w:rPr>
            <w:noProof/>
            <w:webHidden/>
          </w:rPr>
          <w:fldChar w:fldCharType="separate"/>
        </w:r>
        <w:r w:rsidR="00B455C4">
          <w:rPr>
            <w:noProof/>
            <w:webHidden/>
          </w:rPr>
          <w:t>23</w:t>
        </w:r>
        <w:r w:rsidR="00C17533">
          <w:rPr>
            <w:noProof/>
            <w:webHidden/>
          </w:rPr>
          <w:fldChar w:fldCharType="end"/>
        </w:r>
      </w:hyperlink>
    </w:p>
    <w:p w:rsidR="00C17533" w:rsidRDefault="006B6AC1">
      <w:pPr>
        <w:pStyle w:val="TJ1"/>
        <w:tabs>
          <w:tab w:val="left" w:pos="640"/>
          <w:tab w:val="right" w:leader="dot" w:pos="9061"/>
        </w:tabs>
        <w:rPr>
          <w:rFonts w:asciiTheme="minorHAnsi" w:eastAsiaTheme="minorEastAsia" w:hAnsiTheme="minorHAnsi" w:cstheme="minorBidi"/>
          <w:b w:val="0"/>
          <w:bCs w:val="0"/>
          <w:caps w:val="0"/>
          <w:noProof/>
          <w:sz w:val="22"/>
          <w:szCs w:val="22"/>
        </w:rPr>
      </w:pPr>
      <w:hyperlink w:anchor="_Toc349832322" w:history="1">
        <w:r w:rsidR="00C17533" w:rsidRPr="00590B3C">
          <w:rPr>
            <w:rStyle w:val="Hiperhivatkozs"/>
            <w:rFonts w:ascii="Verdana" w:hAnsi="Verdana"/>
            <w:noProof/>
          </w:rPr>
          <w:t>IV.</w:t>
        </w:r>
        <w:r w:rsidR="00C17533">
          <w:rPr>
            <w:rFonts w:asciiTheme="minorHAnsi" w:eastAsiaTheme="minorEastAsia" w:hAnsiTheme="minorHAnsi" w:cstheme="minorBidi"/>
            <w:b w:val="0"/>
            <w:bCs w:val="0"/>
            <w:caps w:val="0"/>
            <w:noProof/>
            <w:sz w:val="22"/>
            <w:szCs w:val="22"/>
          </w:rPr>
          <w:tab/>
        </w:r>
        <w:r w:rsidR="00C17533" w:rsidRPr="00590B3C">
          <w:rPr>
            <w:rStyle w:val="Hiperhivatkozs"/>
            <w:rFonts w:ascii="Verdana" w:hAnsi="Verdana"/>
            <w:noProof/>
          </w:rPr>
          <w:t>A kockázatok</w:t>
        </w:r>
        <w:r w:rsidR="00C17533">
          <w:rPr>
            <w:noProof/>
            <w:webHidden/>
          </w:rPr>
          <w:tab/>
        </w:r>
        <w:r w:rsidR="00C17533">
          <w:rPr>
            <w:noProof/>
            <w:webHidden/>
          </w:rPr>
          <w:fldChar w:fldCharType="begin"/>
        </w:r>
        <w:r w:rsidR="00C17533">
          <w:rPr>
            <w:noProof/>
            <w:webHidden/>
          </w:rPr>
          <w:instrText xml:space="preserve"> PAGEREF _Toc349832322 \h </w:instrText>
        </w:r>
        <w:r w:rsidR="00C17533">
          <w:rPr>
            <w:noProof/>
            <w:webHidden/>
          </w:rPr>
        </w:r>
        <w:r w:rsidR="00C17533">
          <w:rPr>
            <w:noProof/>
            <w:webHidden/>
          </w:rPr>
          <w:fldChar w:fldCharType="separate"/>
        </w:r>
        <w:r w:rsidR="00B455C4">
          <w:rPr>
            <w:noProof/>
            <w:webHidden/>
          </w:rPr>
          <w:t>24</w:t>
        </w:r>
        <w:r w:rsidR="00C17533">
          <w:rPr>
            <w:noProof/>
            <w:webHidden/>
          </w:rPr>
          <w:fldChar w:fldCharType="end"/>
        </w:r>
      </w:hyperlink>
    </w:p>
    <w:p w:rsidR="00C17533" w:rsidRDefault="006B6AC1">
      <w:pPr>
        <w:pStyle w:val="TJ2"/>
        <w:tabs>
          <w:tab w:val="left" w:pos="640"/>
          <w:tab w:val="right" w:leader="dot" w:pos="9061"/>
        </w:tabs>
        <w:rPr>
          <w:rFonts w:asciiTheme="minorHAnsi" w:eastAsiaTheme="minorEastAsia" w:hAnsiTheme="minorHAnsi" w:cstheme="minorBidi"/>
          <w:smallCaps w:val="0"/>
          <w:noProof/>
          <w:sz w:val="22"/>
          <w:szCs w:val="22"/>
        </w:rPr>
      </w:pPr>
      <w:hyperlink w:anchor="_Toc349832323" w:history="1">
        <w:r w:rsidR="00C17533" w:rsidRPr="00590B3C">
          <w:rPr>
            <w:rStyle w:val="Hiperhivatkozs"/>
            <w:noProof/>
          </w:rPr>
          <w:t>26.</w:t>
        </w:r>
        <w:r w:rsidR="00C17533">
          <w:rPr>
            <w:rFonts w:asciiTheme="minorHAnsi" w:eastAsiaTheme="minorEastAsia" w:hAnsiTheme="minorHAnsi" w:cstheme="minorBidi"/>
            <w:smallCaps w:val="0"/>
            <w:noProof/>
            <w:sz w:val="22"/>
            <w:szCs w:val="22"/>
          </w:rPr>
          <w:tab/>
        </w:r>
        <w:r w:rsidR="00C17533" w:rsidRPr="00590B3C">
          <w:rPr>
            <w:rStyle w:val="Hiperhivatkozs"/>
            <w:noProof/>
          </w:rPr>
          <w:t>A kockázati tényezők bemutatása:</w:t>
        </w:r>
        <w:r w:rsidR="00C17533">
          <w:rPr>
            <w:noProof/>
            <w:webHidden/>
          </w:rPr>
          <w:tab/>
        </w:r>
        <w:r w:rsidR="00C17533">
          <w:rPr>
            <w:noProof/>
            <w:webHidden/>
          </w:rPr>
          <w:fldChar w:fldCharType="begin"/>
        </w:r>
        <w:r w:rsidR="00C17533">
          <w:rPr>
            <w:noProof/>
            <w:webHidden/>
          </w:rPr>
          <w:instrText xml:space="preserve"> PAGEREF _Toc349832323 \h </w:instrText>
        </w:r>
        <w:r w:rsidR="00C17533">
          <w:rPr>
            <w:noProof/>
            <w:webHidden/>
          </w:rPr>
        </w:r>
        <w:r w:rsidR="00C17533">
          <w:rPr>
            <w:noProof/>
            <w:webHidden/>
          </w:rPr>
          <w:fldChar w:fldCharType="separate"/>
        </w:r>
        <w:r w:rsidR="00B455C4">
          <w:rPr>
            <w:noProof/>
            <w:webHidden/>
          </w:rPr>
          <w:t>24</w:t>
        </w:r>
        <w:r w:rsidR="00C17533">
          <w:rPr>
            <w:noProof/>
            <w:webHidden/>
          </w:rPr>
          <w:fldChar w:fldCharType="end"/>
        </w:r>
      </w:hyperlink>
    </w:p>
    <w:p w:rsidR="00C17533" w:rsidRDefault="006B6AC1">
      <w:pPr>
        <w:pStyle w:val="TJ1"/>
        <w:tabs>
          <w:tab w:val="left" w:pos="480"/>
          <w:tab w:val="right" w:leader="dot" w:pos="9061"/>
        </w:tabs>
        <w:rPr>
          <w:rFonts w:asciiTheme="minorHAnsi" w:eastAsiaTheme="minorEastAsia" w:hAnsiTheme="minorHAnsi" w:cstheme="minorBidi"/>
          <w:b w:val="0"/>
          <w:bCs w:val="0"/>
          <w:caps w:val="0"/>
          <w:noProof/>
          <w:sz w:val="22"/>
          <w:szCs w:val="22"/>
        </w:rPr>
      </w:pPr>
      <w:hyperlink w:anchor="_Toc349832324" w:history="1">
        <w:r w:rsidR="00C17533" w:rsidRPr="00590B3C">
          <w:rPr>
            <w:rStyle w:val="Hiperhivatkozs"/>
            <w:rFonts w:ascii="Verdana" w:hAnsi="Verdana"/>
            <w:noProof/>
          </w:rPr>
          <w:t>V.</w:t>
        </w:r>
        <w:r w:rsidR="00C17533">
          <w:rPr>
            <w:rFonts w:asciiTheme="minorHAnsi" w:eastAsiaTheme="minorEastAsia" w:hAnsiTheme="minorHAnsi" w:cstheme="minorBidi"/>
            <w:b w:val="0"/>
            <w:bCs w:val="0"/>
            <w:caps w:val="0"/>
            <w:noProof/>
            <w:sz w:val="22"/>
            <w:szCs w:val="22"/>
          </w:rPr>
          <w:tab/>
        </w:r>
        <w:r w:rsidR="00C17533" w:rsidRPr="00590B3C">
          <w:rPr>
            <w:rStyle w:val="Hiperhivatkozs"/>
            <w:rFonts w:ascii="Verdana" w:hAnsi="Verdana"/>
            <w:noProof/>
          </w:rPr>
          <w:t>Az eszközök értékelése</w:t>
        </w:r>
        <w:r w:rsidR="00C17533">
          <w:rPr>
            <w:noProof/>
            <w:webHidden/>
          </w:rPr>
          <w:tab/>
        </w:r>
        <w:r w:rsidR="00C17533">
          <w:rPr>
            <w:noProof/>
            <w:webHidden/>
          </w:rPr>
          <w:fldChar w:fldCharType="begin"/>
        </w:r>
        <w:r w:rsidR="00C17533">
          <w:rPr>
            <w:noProof/>
            <w:webHidden/>
          </w:rPr>
          <w:instrText xml:space="preserve"> PAGEREF _Toc349832324 \h </w:instrText>
        </w:r>
        <w:r w:rsidR="00C17533">
          <w:rPr>
            <w:noProof/>
            <w:webHidden/>
          </w:rPr>
        </w:r>
        <w:r w:rsidR="00C17533">
          <w:rPr>
            <w:noProof/>
            <w:webHidden/>
          </w:rPr>
          <w:fldChar w:fldCharType="separate"/>
        </w:r>
        <w:r w:rsidR="00B455C4">
          <w:rPr>
            <w:noProof/>
            <w:webHidden/>
          </w:rPr>
          <w:t>28</w:t>
        </w:r>
        <w:r w:rsidR="00C17533">
          <w:rPr>
            <w:noProof/>
            <w:webHidden/>
          </w:rPr>
          <w:fldChar w:fldCharType="end"/>
        </w:r>
      </w:hyperlink>
    </w:p>
    <w:p w:rsidR="00C17533" w:rsidRDefault="006B6AC1">
      <w:pPr>
        <w:pStyle w:val="TJ2"/>
        <w:tabs>
          <w:tab w:val="left" w:pos="640"/>
          <w:tab w:val="right" w:leader="dot" w:pos="9061"/>
        </w:tabs>
        <w:rPr>
          <w:rFonts w:asciiTheme="minorHAnsi" w:eastAsiaTheme="minorEastAsia" w:hAnsiTheme="minorHAnsi" w:cstheme="minorBidi"/>
          <w:smallCaps w:val="0"/>
          <w:noProof/>
          <w:sz w:val="22"/>
          <w:szCs w:val="22"/>
        </w:rPr>
      </w:pPr>
      <w:hyperlink w:anchor="_Toc349832325" w:history="1">
        <w:r w:rsidR="00C17533" w:rsidRPr="00590B3C">
          <w:rPr>
            <w:rStyle w:val="Hiperhivatkozs"/>
            <w:noProof/>
          </w:rPr>
          <w:t>27.</w:t>
        </w:r>
        <w:r w:rsidR="00C17533">
          <w:rPr>
            <w:rFonts w:asciiTheme="minorHAnsi" w:eastAsiaTheme="minorEastAsia" w:hAnsiTheme="minorHAnsi" w:cstheme="minorBidi"/>
            <w:smallCaps w:val="0"/>
            <w:noProof/>
            <w:sz w:val="22"/>
            <w:szCs w:val="22"/>
          </w:rPr>
          <w:tab/>
        </w:r>
        <w:r w:rsidR="00C17533" w:rsidRPr="00590B3C">
          <w:rPr>
            <w:rStyle w:val="Hiperhivatkozs"/>
            <w:noProof/>
          </w:rPr>
          <w:t>A nettó eszközérték megállapítása, közzétételének helye és ideje, a hibás nettó eszközérték számítása esetén követendő eljárás:</w:t>
        </w:r>
        <w:r w:rsidR="00C17533">
          <w:rPr>
            <w:noProof/>
            <w:webHidden/>
          </w:rPr>
          <w:tab/>
        </w:r>
        <w:r w:rsidR="00C17533">
          <w:rPr>
            <w:noProof/>
            <w:webHidden/>
          </w:rPr>
          <w:fldChar w:fldCharType="begin"/>
        </w:r>
        <w:r w:rsidR="00C17533">
          <w:rPr>
            <w:noProof/>
            <w:webHidden/>
          </w:rPr>
          <w:instrText xml:space="preserve"> PAGEREF _Toc349832325 \h </w:instrText>
        </w:r>
        <w:r w:rsidR="00C17533">
          <w:rPr>
            <w:noProof/>
            <w:webHidden/>
          </w:rPr>
        </w:r>
        <w:r w:rsidR="00C17533">
          <w:rPr>
            <w:noProof/>
            <w:webHidden/>
          </w:rPr>
          <w:fldChar w:fldCharType="separate"/>
        </w:r>
        <w:r w:rsidR="00B455C4">
          <w:rPr>
            <w:noProof/>
            <w:webHidden/>
          </w:rPr>
          <w:t>28</w:t>
        </w:r>
        <w:r w:rsidR="00C17533">
          <w:rPr>
            <w:noProof/>
            <w:webHidden/>
          </w:rPr>
          <w:fldChar w:fldCharType="end"/>
        </w:r>
      </w:hyperlink>
    </w:p>
    <w:p w:rsidR="00C17533" w:rsidRDefault="006B6AC1">
      <w:pPr>
        <w:pStyle w:val="TJ2"/>
        <w:tabs>
          <w:tab w:val="left" w:pos="640"/>
          <w:tab w:val="right" w:leader="dot" w:pos="9061"/>
        </w:tabs>
        <w:rPr>
          <w:rFonts w:asciiTheme="minorHAnsi" w:eastAsiaTheme="minorEastAsia" w:hAnsiTheme="minorHAnsi" w:cstheme="minorBidi"/>
          <w:smallCaps w:val="0"/>
          <w:noProof/>
          <w:sz w:val="22"/>
          <w:szCs w:val="22"/>
        </w:rPr>
      </w:pPr>
      <w:hyperlink w:anchor="_Toc349832326" w:history="1">
        <w:r w:rsidR="00C17533" w:rsidRPr="00590B3C">
          <w:rPr>
            <w:rStyle w:val="Hiperhivatkozs"/>
            <w:noProof/>
          </w:rPr>
          <w:t>28.</w:t>
        </w:r>
        <w:r w:rsidR="00C17533">
          <w:rPr>
            <w:rFonts w:asciiTheme="minorHAnsi" w:eastAsiaTheme="minorEastAsia" w:hAnsiTheme="minorHAnsi" w:cstheme="minorBidi"/>
            <w:smallCaps w:val="0"/>
            <w:noProof/>
            <w:sz w:val="22"/>
            <w:szCs w:val="22"/>
          </w:rPr>
          <w:tab/>
        </w:r>
        <w:r w:rsidR="00C17533" w:rsidRPr="00590B3C">
          <w:rPr>
            <w:rStyle w:val="Hiperhivatkozs"/>
            <w:noProof/>
          </w:rPr>
          <w:t>A portfólió elemeinek értékelése:</w:t>
        </w:r>
        <w:r w:rsidR="00C17533">
          <w:rPr>
            <w:noProof/>
            <w:webHidden/>
          </w:rPr>
          <w:tab/>
        </w:r>
        <w:r w:rsidR="00C17533">
          <w:rPr>
            <w:noProof/>
            <w:webHidden/>
          </w:rPr>
          <w:fldChar w:fldCharType="begin"/>
        </w:r>
        <w:r w:rsidR="00C17533">
          <w:rPr>
            <w:noProof/>
            <w:webHidden/>
          </w:rPr>
          <w:instrText xml:space="preserve"> PAGEREF _Toc349832326 \h </w:instrText>
        </w:r>
        <w:r w:rsidR="00C17533">
          <w:rPr>
            <w:noProof/>
            <w:webHidden/>
          </w:rPr>
        </w:r>
        <w:r w:rsidR="00C17533">
          <w:rPr>
            <w:noProof/>
            <w:webHidden/>
          </w:rPr>
          <w:fldChar w:fldCharType="separate"/>
        </w:r>
        <w:r w:rsidR="00B455C4">
          <w:rPr>
            <w:noProof/>
            <w:webHidden/>
          </w:rPr>
          <w:t>28</w:t>
        </w:r>
        <w:r w:rsidR="00C17533">
          <w:rPr>
            <w:noProof/>
            <w:webHidden/>
          </w:rPr>
          <w:fldChar w:fldCharType="end"/>
        </w:r>
      </w:hyperlink>
    </w:p>
    <w:p w:rsidR="00C17533" w:rsidRDefault="006B6AC1">
      <w:pPr>
        <w:pStyle w:val="TJ2"/>
        <w:tabs>
          <w:tab w:val="left" w:pos="640"/>
          <w:tab w:val="right" w:leader="dot" w:pos="9061"/>
        </w:tabs>
        <w:rPr>
          <w:rFonts w:asciiTheme="minorHAnsi" w:eastAsiaTheme="minorEastAsia" w:hAnsiTheme="minorHAnsi" w:cstheme="minorBidi"/>
          <w:smallCaps w:val="0"/>
          <w:noProof/>
          <w:sz w:val="22"/>
          <w:szCs w:val="22"/>
        </w:rPr>
      </w:pPr>
      <w:hyperlink w:anchor="_Toc349832327" w:history="1">
        <w:r w:rsidR="00C17533" w:rsidRPr="00590B3C">
          <w:rPr>
            <w:rStyle w:val="Hiperhivatkozs"/>
            <w:noProof/>
          </w:rPr>
          <w:t>29.</w:t>
        </w:r>
        <w:r w:rsidR="00C17533">
          <w:rPr>
            <w:rFonts w:asciiTheme="minorHAnsi" w:eastAsiaTheme="minorEastAsia" w:hAnsiTheme="minorHAnsi" w:cstheme="minorBidi"/>
            <w:smallCaps w:val="0"/>
            <w:noProof/>
            <w:sz w:val="22"/>
            <w:szCs w:val="22"/>
          </w:rPr>
          <w:tab/>
        </w:r>
        <w:r w:rsidR="00C17533" w:rsidRPr="00590B3C">
          <w:rPr>
            <w:rStyle w:val="Hiperhivatkozs"/>
            <w:noProof/>
          </w:rPr>
          <w:t>A származtatott ügyletek értékelése:</w:t>
        </w:r>
        <w:r w:rsidR="00C17533">
          <w:rPr>
            <w:noProof/>
            <w:webHidden/>
          </w:rPr>
          <w:tab/>
        </w:r>
        <w:r w:rsidR="00C17533">
          <w:rPr>
            <w:noProof/>
            <w:webHidden/>
          </w:rPr>
          <w:fldChar w:fldCharType="begin"/>
        </w:r>
        <w:r w:rsidR="00C17533">
          <w:rPr>
            <w:noProof/>
            <w:webHidden/>
          </w:rPr>
          <w:instrText xml:space="preserve"> PAGEREF _Toc349832327 \h </w:instrText>
        </w:r>
        <w:r w:rsidR="00C17533">
          <w:rPr>
            <w:noProof/>
            <w:webHidden/>
          </w:rPr>
        </w:r>
        <w:r w:rsidR="00C17533">
          <w:rPr>
            <w:noProof/>
            <w:webHidden/>
          </w:rPr>
          <w:fldChar w:fldCharType="separate"/>
        </w:r>
        <w:r w:rsidR="00B455C4">
          <w:rPr>
            <w:noProof/>
            <w:webHidden/>
          </w:rPr>
          <w:t>30</w:t>
        </w:r>
        <w:r w:rsidR="00C17533">
          <w:rPr>
            <w:noProof/>
            <w:webHidden/>
          </w:rPr>
          <w:fldChar w:fldCharType="end"/>
        </w:r>
      </w:hyperlink>
    </w:p>
    <w:p w:rsidR="00C17533" w:rsidRDefault="006B6AC1">
      <w:pPr>
        <w:pStyle w:val="TJ2"/>
        <w:tabs>
          <w:tab w:val="left" w:pos="640"/>
          <w:tab w:val="right" w:leader="dot" w:pos="9061"/>
        </w:tabs>
        <w:rPr>
          <w:rFonts w:asciiTheme="minorHAnsi" w:eastAsiaTheme="minorEastAsia" w:hAnsiTheme="minorHAnsi" w:cstheme="minorBidi"/>
          <w:smallCaps w:val="0"/>
          <w:noProof/>
          <w:sz w:val="22"/>
          <w:szCs w:val="22"/>
        </w:rPr>
      </w:pPr>
      <w:hyperlink w:anchor="_Toc349832328" w:history="1">
        <w:r w:rsidR="00C17533" w:rsidRPr="00590B3C">
          <w:rPr>
            <w:rStyle w:val="Hiperhivatkozs"/>
            <w:noProof/>
          </w:rPr>
          <w:t>30.</w:t>
        </w:r>
        <w:r w:rsidR="00C17533">
          <w:rPr>
            <w:rFonts w:asciiTheme="minorHAnsi" w:eastAsiaTheme="minorEastAsia" w:hAnsiTheme="minorHAnsi" w:cstheme="minorBidi"/>
            <w:smallCaps w:val="0"/>
            <w:noProof/>
            <w:sz w:val="22"/>
            <w:szCs w:val="22"/>
          </w:rPr>
          <w:tab/>
        </w:r>
        <w:r w:rsidR="00C17533" w:rsidRPr="00590B3C">
          <w:rPr>
            <w:rStyle w:val="Hiperhivatkozs"/>
            <w:noProof/>
          </w:rPr>
          <w:t>Az adott tárgykörre vonatkozó egyéb információk:</w:t>
        </w:r>
        <w:r w:rsidR="00C17533">
          <w:rPr>
            <w:noProof/>
            <w:webHidden/>
          </w:rPr>
          <w:tab/>
        </w:r>
        <w:r w:rsidR="00C17533">
          <w:rPr>
            <w:noProof/>
            <w:webHidden/>
          </w:rPr>
          <w:fldChar w:fldCharType="begin"/>
        </w:r>
        <w:r w:rsidR="00C17533">
          <w:rPr>
            <w:noProof/>
            <w:webHidden/>
          </w:rPr>
          <w:instrText xml:space="preserve"> PAGEREF _Toc349832328 \h </w:instrText>
        </w:r>
        <w:r w:rsidR="00C17533">
          <w:rPr>
            <w:noProof/>
            <w:webHidden/>
          </w:rPr>
        </w:r>
        <w:r w:rsidR="00C17533">
          <w:rPr>
            <w:noProof/>
            <w:webHidden/>
          </w:rPr>
          <w:fldChar w:fldCharType="separate"/>
        </w:r>
        <w:r w:rsidR="00B455C4">
          <w:rPr>
            <w:noProof/>
            <w:webHidden/>
          </w:rPr>
          <w:t>31</w:t>
        </w:r>
        <w:r w:rsidR="00C17533">
          <w:rPr>
            <w:noProof/>
            <w:webHidden/>
          </w:rPr>
          <w:fldChar w:fldCharType="end"/>
        </w:r>
      </w:hyperlink>
    </w:p>
    <w:p w:rsidR="00C17533" w:rsidRDefault="006B6AC1">
      <w:pPr>
        <w:pStyle w:val="TJ1"/>
        <w:tabs>
          <w:tab w:val="left" w:pos="640"/>
          <w:tab w:val="right" w:leader="dot" w:pos="9061"/>
        </w:tabs>
        <w:rPr>
          <w:rFonts w:asciiTheme="minorHAnsi" w:eastAsiaTheme="minorEastAsia" w:hAnsiTheme="minorHAnsi" w:cstheme="minorBidi"/>
          <w:b w:val="0"/>
          <w:bCs w:val="0"/>
          <w:caps w:val="0"/>
          <w:noProof/>
          <w:sz w:val="22"/>
          <w:szCs w:val="22"/>
        </w:rPr>
      </w:pPr>
      <w:hyperlink w:anchor="_Toc349832329" w:history="1">
        <w:r w:rsidR="00C17533" w:rsidRPr="00590B3C">
          <w:rPr>
            <w:rStyle w:val="Hiperhivatkozs"/>
            <w:rFonts w:ascii="Verdana" w:hAnsi="Verdana"/>
            <w:noProof/>
          </w:rPr>
          <w:t>VI.</w:t>
        </w:r>
        <w:r w:rsidR="00C17533">
          <w:rPr>
            <w:rFonts w:asciiTheme="minorHAnsi" w:eastAsiaTheme="minorEastAsia" w:hAnsiTheme="minorHAnsi" w:cstheme="minorBidi"/>
            <w:b w:val="0"/>
            <w:bCs w:val="0"/>
            <w:caps w:val="0"/>
            <w:noProof/>
            <w:sz w:val="22"/>
            <w:szCs w:val="22"/>
          </w:rPr>
          <w:tab/>
        </w:r>
        <w:r w:rsidR="00C17533" w:rsidRPr="00590B3C">
          <w:rPr>
            <w:rStyle w:val="Hiperhivatkozs"/>
            <w:rFonts w:ascii="Verdana" w:hAnsi="Verdana"/>
            <w:noProof/>
          </w:rPr>
          <w:t>A hozammal kapcsolatos információk</w:t>
        </w:r>
        <w:r w:rsidR="00C17533">
          <w:rPr>
            <w:noProof/>
            <w:webHidden/>
          </w:rPr>
          <w:tab/>
        </w:r>
        <w:r w:rsidR="00C17533">
          <w:rPr>
            <w:noProof/>
            <w:webHidden/>
          </w:rPr>
          <w:fldChar w:fldCharType="begin"/>
        </w:r>
        <w:r w:rsidR="00C17533">
          <w:rPr>
            <w:noProof/>
            <w:webHidden/>
          </w:rPr>
          <w:instrText xml:space="preserve"> PAGEREF _Toc349832329 \h </w:instrText>
        </w:r>
        <w:r w:rsidR="00C17533">
          <w:rPr>
            <w:noProof/>
            <w:webHidden/>
          </w:rPr>
        </w:r>
        <w:r w:rsidR="00C17533">
          <w:rPr>
            <w:noProof/>
            <w:webHidden/>
          </w:rPr>
          <w:fldChar w:fldCharType="separate"/>
        </w:r>
        <w:r w:rsidR="00B455C4">
          <w:rPr>
            <w:noProof/>
            <w:webHidden/>
          </w:rPr>
          <w:t>32</w:t>
        </w:r>
        <w:r w:rsidR="00C17533">
          <w:rPr>
            <w:noProof/>
            <w:webHidden/>
          </w:rPr>
          <w:fldChar w:fldCharType="end"/>
        </w:r>
      </w:hyperlink>
    </w:p>
    <w:p w:rsidR="00C17533" w:rsidRDefault="006B6AC1">
      <w:pPr>
        <w:pStyle w:val="TJ2"/>
        <w:tabs>
          <w:tab w:val="left" w:pos="640"/>
          <w:tab w:val="right" w:leader="dot" w:pos="9061"/>
        </w:tabs>
        <w:rPr>
          <w:rFonts w:asciiTheme="minorHAnsi" w:eastAsiaTheme="minorEastAsia" w:hAnsiTheme="minorHAnsi" w:cstheme="minorBidi"/>
          <w:smallCaps w:val="0"/>
          <w:noProof/>
          <w:sz w:val="22"/>
          <w:szCs w:val="22"/>
        </w:rPr>
      </w:pPr>
      <w:hyperlink w:anchor="_Toc349832330" w:history="1">
        <w:r w:rsidR="00C17533" w:rsidRPr="00590B3C">
          <w:rPr>
            <w:rStyle w:val="Hiperhivatkozs"/>
            <w:noProof/>
          </w:rPr>
          <w:t>31.</w:t>
        </w:r>
        <w:r w:rsidR="00C17533">
          <w:rPr>
            <w:rFonts w:asciiTheme="minorHAnsi" w:eastAsiaTheme="minorEastAsia" w:hAnsiTheme="minorHAnsi" w:cstheme="minorBidi"/>
            <w:smallCaps w:val="0"/>
            <w:noProof/>
            <w:sz w:val="22"/>
            <w:szCs w:val="22"/>
          </w:rPr>
          <w:tab/>
        </w:r>
        <w:r w:rsidR="00C17533" w:rsidRPr="00590B3C">
          <w:rPr>
            <w:rStyle w:val="Hiperhivatkozs"/>
            <w:noProof/>
          </w:rPr>
          <w:t>A hozam megállapításának és kifizetésének feltételei és eljárása:</w:t>
        </w:r>
        <w:r w:rsidR="00C17533">
          <w:rPr>
            <w:noProof/>
            <w:webHidden/>
          </w:rPr>
          <w:tab/>
        </w:r>
        <w:r w:rsidR="00C17533">
          <w:rPr>
            <w:noProof/>
            <w:webHidden/>
          </w:rPr>
          <w:fldChar w:fldCharType="begin"/>
        </w:r>
        <w:r w:rsidR="00C17533">
          <w:rPr>
            <w:noProof/>
            <w:webHidden/>
          </w:rPr>
          <w:instrText xml:space="preserve"> PAGEREF _Toc349832330 \h </w:instrText>
        </w:r>
        <w:r w:rsidR="00C17533">
          <w:rPr>
            <w:noProof/>
            <w:webHidden/>
          </w:rPr>
        </w:r>
        <w:r w:rsidR="00C17533">
          <w:rPr>
            <w:noProof/>
            <w:webHidden/>
          </w:rPr>
          <w:fldChar w:fldCharType="separate"/>
        </w:r>
        <w:r w:rsidR="00B455C4">
          <w:rPr>
            <w:noProof/>
            <w:webHidden/>
          </w:rPr>
          <w:t>32</w:t>
        </w:r>
        <w:r w:rsidR="00C17533">
          <w:rPr>
            <w:noProof/>
            <w:webHidden/>
          </w:rPr>
          <w:fldChar w:fldCharType="end"/>
        </w:r>
      </w:hyperlink>
    </w:p>
    <w:p w:rsidR="00C17533" w:rsidRDefault="006B6AC1">
      <w:pPr>
        <w:pStyle w:val="TJ2"/>
        <w:tabs>
          <w:tab w:val="left" w:pos="640"/>
          <w:tab w:val="right" w:leader="dot" w:pos="9061"/>
        </w:tabs>
        <w:rPr>
          <w:rFonts w:asciiTheme="minorHAnsi" w:eastAsiaTheme="minorEastAsia" w:hAnsiTheme="minorHAnsi" w:cstheme="minorBidi"/>
          <w:smallCaps w:val="0"/>
          <w:noProof/>
          <w:sz w:val="22"/>
          <w:szCs w:val="22"/>
        </w:rPr>
      </w:pPr>
      <w:hyperlink w:anchor="_Toc349832331" w:history="1">
        <w:r w:rsidR="00C17533" w:rsidRPr="00590B3C">
          <w:rPr>
            <w:rStyle w:val="Hiperhivatkozs"/>
            <w:noProof/>
          </w:rPr>
          <w:t>32.</w:t>
        </w:r>
        <w:r w:rsidR="00C17533">
          <w:rPr>
            <w:rFonts w:asciiTheme="minorHAnsi" w:eastAsiaTheme="minorEastAsia" w:hAnsiTheme="minorHAnsi" w:cstheme="minorBidi"/>
            <w:smallCaps w:val="0"/>
            <w:noProof/>
            <w:sz w:val="22"/>
            <w:szCs w:val="22"/>
          </w:rPr>
          <w:tab/>
        </w:r>
        <w:r w:rsidR="00C17533" w:rsidRPr="00590B3C">
          <w:rPr>
            <w:rStyle w:val="Hiperhivatkozs"/>
            <w:noProof/>
          </w:rPr>
          <w:t>Hozamfizetési napok:</w:t>
        </w:r>
        <w:r w:rsidR="00C17533">
          <w:rPr>
            <w:noProof/>
            <w:webHidden/>
          </w:rPr>
          <w:tab/>
        </w:r>
        <w:r w:rsidR="00C17533">
          <w:rPr>
            <w:noProof/>
            <w:webHidden/>
          </w:rPr>
          <w:fldChar w:fldCharType="begin"/>
        </w:r>
        <w:r w:rsidR="00C17533">
          <w:rPr>
            <w:noProof/>
            <w:webHidden/>
          </w:rPr>
          <w:instrText xml:space="preserve"> PAGEREF _Toc349832331 \h </w:instrText>
        </w:r>
        <w:r w:rsidR="00C17533">
          <w:rPr>
            <w:noProof/>
            <w:webHidden/>
          </w:rPr>
        </w:r>
        <w:r w:rsidR="00C17533">
          <w:rPr>
            <w:noProof/>
            <w:webHidden/>
          </w:rPr>
          <w:fldChar w:fldCharType="separate"/>
        </w:r>
        <w:r w:rsidR="00B455C4">
          <w:rPr>
            <w:noProof/>
            <w:webHidden/>
          </w:rPr>
          <w:t>32</w:t>
        </w:r>
        <w:r w:rsidR="00C17533">
          <w:rPr>
            <w:noProof/>
            <w:webHidden/>
          </w:rPr>
          <w:fldChar w:fldCharType="end"/>
        </w:r>
      </w:hyperlink>
    </w:p>
    <w:p w:rsidR="00C17533" w:rsidRDefault="006B6AC1">
      <w:pPr>
        <w:pStyle w:val="TJ2"/>
        <w:tabs>
          <w:tab w:val="left" w:pos="640"/>
          <w:tab w:val="right" w:leader="dot" w:pos="9061"/>
        </w:tabs>
        <w:rPr>
          <w:rFonts w:asciiTheme="minorHAnsi" w:eastAsiaTheme="minorEastAsia" w:hAnsiTheme="minorHAnsi" w:cstheme="minorBidi"/>
          <w:smallCaps w:val="0"/>
          <w:noProof/>
          <w:sz w:val="22"/>
          <w:szCs w:val="22"/>
        </w:rPr>
      </w:pPr>
      <w:hyperlink w:anchor="_Toc349832332" w:history="1">
        <w:r w:rsidR="00C17533" w:rsidRPr="00590B3C">
          <w:rPr>
            <w:rStyle w:val="Hiperhivatkozs"/>
            <w:noProof/>
          </w:rPr>
          <w:t>33.</w:t>
        </w:r>
        <w:r w:rsidR="00C17533">
          <w:rPr>
            <w:rFonts w:asciiTheme="minorHAnsi" w:eastAsiaTheme="minorEastAsia" w:hAnsiTheme="minorHAnsi" w:cstheme="minorBidi"/>
            <w:smallCaps w:val="0"/>
            <w:noProof/>
            <w:sz w:val="22"/>
            <w:szCs w:val="22"/>
          </w:rPr>
          <w:tab/>
        </w:r>
        <w:r w:rsidR="00C17533" w:rsidRPr="00590B3C">
          <w:rPr>
            <w:rStyle w:val="Hiperhivatkozs"/>
            <w:noProof/>
          </w:rPr>
          <w:t>Az adott tárgykörre vonatkozó egyéb információk:</w:t>
        </w:r>
        <w:r w:rsidR="00C17533">
          <w:rPr>
            <w:noProof/>
            <w:webHidden/>
          </w:rPr>
          <w:tab/>
        </w:r>
        <w:r w:rsidR="00C17533">
          <w:rPr>
            <w:noProof/>
            <w:webHidden/>
          </w:rPr>
          <w:fldChar w:fldCharType="begin"/>
        </w:r>
        <w:r w:rsidR="00C17533">
          <w:rPr>
            <w:noProof/>
            <w:webHidden/>
          </w:rPr>
          <w:instrText xml:space="preserve"> PAGEREF _Toc349832332 \h </w:instrText>
        </w:r>
        <w:r w:rsidR="00C17533">
          <w:rPr>
            <w:noProof/>
            <w:webHidden/>
          </w:rPr>
        </w:r>
        <w:r w:rsidR="00C17533">
          <w:rPr>
            <w:noProof/>
            <w:webHidden/>
          </w:rPr>
          <w:fldChar w:fldCharType="separate"/>
        </w:r>
        <w:r w:rsidR="00B455C4">
          <w:rPr>
            <w:noProof/>
            <w:webHidden/>
          </w:rPr>
          <w:t>32</w:t>
        </w:r>
        <w:r w:rsidR="00C17533">
          <w:rPr>
            <w:noProof/>
            <w:webHidden/>
          </w:rPr>
          <w:fldChar w:fldCharType="end"/>
        </w:r>
      </w:hyperlink>
    </w:p>
    <w:p w:rsidR="00C17533" w:rsidRDefault="006B6AC1">
      <w:pPr>
        <w:pStyle w:val="TJ1"/>
        <w:tabs>
          <w:tab w:val="left" w:pos="800"/>
          <w:tab w:val="right" w:leader="dot" w:pos="9061"/>
        </w:tabs>
        <w:rPr>
          <w:rFonts w:asciiTheme="minorHAnsi" w:eastAsiaTheme="minorEastAsia" w:hAnsiTheme="minorHAnsi" w:cstheme="minorBidi"/>
          <w:b w:val="0"/>
          <w:bCs w:val="0"/>
          <w:caps w:val="0"/>
          <w:noProof/>
          <w:sz w:val="22"/>
          <w:szCs w:val="22"/>
        </w:rPr>
      </w:pPr>
      <w:hyperlink w:anchor="_Toc349832333" w:history="1">
        <w:r w:rsidR="00C17533" w:rsidRPr="00590B3C">
          <w:rPr>
            <w:rStyle w:val="Hiperhivatkozs"/>
            <w:rFonts w:ascii="Verdana" w:hAnsi="Verdana"/>
            <w:noProof/>
          </w:rPr>
          <w:t>VII.</w:t>
        </w:r>
        <w:r w:rsidR="00C17533">
          <w:rPr>
            <w:rFonts w:asciiTheme="minorHAnsi" w:eastAsiaTheme="minorEastAsia" w:hAnsiTheme="minorHAnsi" w:cstheme="minorBidi"/>
            <w:b w:val="0"/>
            <w:bCs w:val="0"/>
            <w:caps w:val="0"/>
            <w:noProof/>
            <w:sz w:val="22"/>
            <w:szCs w:val="22"/>
          </w:rPr>
          <w:tab/>
        </w:r>
        <w:r w:rsidR="00C17533" w:rsidRPr="00590B3C">
          <w:rPr>
            <w:rStyle w:val="Hiperhivatkozs"/>
            <w:rFonts w:ascii="Verdana" w:hAnsi="Verdana"/>
            <w:noProof/>
          </w:rPr>
          <w:t>A befektetési alap tőkéjének megóvására, illetve a hozamra vonatkozó ígéret és teljesítésének biztosítása</w:t>
        </w:r>
        <w:r w:rsidR="00C17533">
          <w:rPr>
            <w:noProof/>
            <w:webHidden/>
          </w:rPr>
          <w:tab/>
        </w:r>
        <w:r w:rsidR="00C17533">
          <w:rPr>
            <w:noProof/>
            <w:webHidden/>
          </w:rPr>
          <w:fldChar w:fldCharType="begin"/>
        </w:r>
        <w:r w:rsidR="00C17533">
          <w:rPr>
            <w:noProof/>
            <w:webHidden/>
          </w:rPr>
          <w:instrText xml:space="preserve"> PAGEREF _Toc349832333 \h </w:instrText>
        </w:r>
        <w:r w:rsidR="00C17533">
          <w:rPr>
            <w:noProof/>
            <w:webHidden/>
          </w:rPr>
        </w:r>
        <w:r w:rsidR="00C17533">
          <w:rPr>
            <w:noProof/>
            <w:webHidden/>
          </w:rPr>
          <w:fldChar w:fldCharType="separate"/>
        </w:r>
        <w:r w:rsidR="00B455C4">
          <w:rPr>
            <w:noProof/>
            <w:webHidden/>
          </w:rPr>
          <w:t>33</w:t>
        </w:r>
        <w:r w:rsidR="00C17533">
          <w:rPr>
            <w:noProof/>
            <w:webHidden/>
          </w:rPr>
          <w:fldChar w:fldCharType="end"/>
        </w:r>
      </w:hyperlink>
    </w:p>
    <w:p w:rsidR="00C17533" w:rsidRDefault="006B6AC1">
      <w:pPr>
        <w:pStyle w:val="TJ2"/>
        <w:tabs>
          <w:tab w:val="left" w:pos="640"/>
          <w:tab w:val="right" w:leader="dot" w:pos="9061"/>
        </w:tabs>
        <w:rPr>
          <w:rFonts w:asciiTheme="minorHAnsi" w:eastAsiaTheme="minorEastAsia" w:hAnsiTheme="minorHAnsi" w:cstheme="minorBidi"/>
          <w:smallCaps w:val="0"/>
          <w:noProof/>
          <w:sz w:val="22"/>
          <w:szCs w:val="22"/>
        </w:rPr>
      </w:pPr>
      <w:hyperlink w:anchor="_Toc349832334" w:history="1">
        <w:r w:rsidR="00C17533" w:rsidRPr="00590B3C">
          <w:rPr>
            <w:rStyle w:val="Hiperhivatkozs"/>
            <w:noProof/>
          </w:rPr>
          <w:t>34.</w:t>
        </w:r>
        <w:r w:rsidR="00C17533">
          <w:rPr>
            <w:rFonts w:asciiTheme="minorHAnsi" w:eastAsiaTheme="minorEastAsia" w:hAnsiTheme="minorHAnsi" w:cstheme="minorBidi"/>
            <w:smallCaps w:val="0"/>
            <w:noProof/>
            <w:sz w:val="22"/>
            <w:szCs w:val="22"/>
          </w:rPr>
          <w:tab/>
        </w:r>
        <w:r w:rsidR="00C17533" w:rsidRPr="00590B3C">
          <w:rPr>
            <w:rStyle w:val="Hiperhivatkozs"/>
            <w:noProof/>
          </w:rPr>
          <w:t>A tőke megóvására, illetve a hozamra vonatkozó ígéret:</w:t>
        </w:r>
        <w:r w:rsidR="00C17533">
          <w:rPr>
            <w:noProof/>
            <w:webHidden/>
          </w:rPr>
          <w:tab/>
        </w:r>
        <w:r w:rsidR="00C17533">
          <w:rPr>
            <w:noProof/>
            <w:webHidden/>
          </w:rPr>
          <w:fldChar w:fldCharType="begin"/>
        </w:r>
        <w:r w:rsidR="00C17533">
          <w:rPr>
            <w:noProof/>
            <w:webHidden/>
          </w:rPr>
          <w:instrText xml:space="preserve"> PAGEREF _Toc349832334 \h </w:instrText>
        </w:r>
        <w:r w:rsidR="00C17533">
          <w:rPr>
            <w:noProof/>
            <w:webHidden/>
          </w:rPr>
        </w:r>
        <w:r w:rsidR="00C17533">
          <w:rPr>
            <w:noProof/>
            <w:webHidden/>
          </w:rPr>
          <w:fldChar w:fldCharType="separate"/>
        </w:r>
        <w:r w:rsidR="00B455C4">
          <w:rPr>
            <w:noProof/>
            <w:webHidden/>
          </w:rPr>
          <w:t>33</w:t>
        </w:r>
        <w:r w:rsidR="00C17533">
          <w:rPr>
            <w:noProof/>
            <w:webHidden/>
          </w:rPr>
          <w:fldChar w:fldCharType="end"/>
        </w:r>
      </w:hyperlink>
    </w:p>
    <w:p w:rsidR="00C17533" w:rsidRDefault="006B6AC1">
      <w:pPr>
        <w:pStyle w:val="TJ2"/>
        <w:tabs>
          <w:tab w:val="left" w:pos="800"/>
          <w:tab w:val="right" w:leader="dot" w:pos="9061"/>
        </w:tabs>
        <w:rPr>
          <w:rFonts w:asciiTheme="minorHAnsi" w:eastAsiaTheme="minorEastAsia" w:hAnsiTheme="minorHAnsi" w:cstheme="minorBidi"/>
          <w:smallCaps w:val="0"/>
          <w:noProof/>
          <w:sz w:val="22"/>
          <w:szCs w:val="22"/>
        </w:rPr>
      </w:pPr>
      <w:hyperlink w:anchor="_Toc349832335" w:history="1">
        <w:r w:rsidR="00C17533" w:rsidRPr="00590B3C">
          <w:rPr>
            <w:rStyle w:val="Hiperhivatkozs"/>
            <w:noProof/>
          </w:rPr>
          <w:t>34.1.</w:t>
        </w:r>
        <w:r w:rsidR="00C17533">
          <w:rPr>
            <w:rFonts w:asciiTheme="minorHAnsi" w:eastAsiaTheme="minorEastAsia" w:hAnsiTheme="minorHAnsi" w:cstheme="minorBidi"/>
            <w:smallCaps w:val="0"/>
            <w:noProof/>
            <w:sz w:val="22"/>
            <w:szCs w:val="22"/>
          </w:rPr>
          <w:tab/>
        </w:r>
        <w:r w:rsidR="00C17533" w:rsidRPr="00590B3C">
          <w:rPr>
            <w:rStyle w:val="Hiperhivatkozs"/>
            <w:noProof/>
          </w:rPr>
          <w:t>A tőke megóvására, illetve a hozamra vonatkozó ígéret teljesülését biztosító bankgarancia vagy kezesi biztosítás (tőke-, illetve hozamgarancia):</w:t>
        </w:r>
        <w:r w:rsidR="00C17533">
          <w:rPr>
            <w:noProof/>
            <w:webHidden/>
          </w:rPr>
          <w:tab/>
        </w:r>
        <w:r w:rsidR="00C17533">
          <w:rPr>
            <w:noProof/>
            <w:webHidden/>
          </w:rPr>
          <w:fldChar w:fldCharType="begin"/>
        </w:r>
        <w:r w:rsidR="00C17533">
          <w:rPr>
            <w:noProof/>
            <w:webHidden/>
          </w:rPr>
          <w:instrText xml:space="preserve"> PAGEREF _Toc349832335 \h </w:instrText>
        </w:r>
        <w:r w:rsidR="00C17533">
          <w:rPr>
            <w:noProof/>
            <w:webHidden/>
          </w:rPr>
        </w:r>
        <w:r w:rsidR="00C17533">
          <w:rPr>
            <w:noProof/>
            <w:webHidden/>
          </w:rPr>
          <w:fldChar w:fldCharType="separate"/>
        </w:r>
        <w:r w:rsidR="00B455C4">
          <w:rPr>
            <w:noProof/>
            <w:webHidden/>
          </w:rPr>
          <w:t>33</w:t>
        </w:r>
        <w:r w:rsidR="00C17533">
          <w:rPr>
            <w:noProof/>
            <w:webHidden/>
          </w:rPr>
          <w:fldChar w:fldCharType="end"/>
        </w:r>
      </w:hyperlink>
    </w:p>
    <w:p w:rsidR="00C17533" w:rsidRDefault="006B6AC1">
      <w:pPr>
        <w:pStyle w:val="TJ2"/>
        <w:tabs>
          <w:tab w:val="left" w:pos="800"/>
          <w:tab w:val="right" w:leader="dot" w:pos="9061"/>
        </w:tabs>
        <w:rPr>
          <w:rFonts w:asciiTheme="minorHAnsi" w:eastAsiaTheme="minorEastAsia" w:hAnsiTheme="minorHAnsi" w:cstheme="minorBidi"/>
          <w:smallCaps w:val="0"/>
          <w:noProof/>
          <w:sz w:val="22"/>
          <w:szCs w:val="22"/>
        </w:rPr>
      </w:pPr>
      <w:hyperlink w:anchor="_Toc349832336" w:history="1">
        <w:r w:rsidR="00C17533" w:rsidRPr="00590B3C">
          <w:rPr>
            <w:rStyle w:val="Hiperhivatkozs"/>
            <w:noProof/>
          </w:rPr>
          <w:t>34.2.</w:t>
        </w:r>
        <w:r w:rsidR="00C17533">
          <w:rPr>
            <w:rFonts w:asciiTheme="minorHAnsi" w:eastAsiaTheme="minorEastAsia" w:hAnsiTheme="minorHAnsi" w:cstheme="minorBidi"/>
            <w:smallCaps w:val="0"/>
            <w:noProof/>
            <w:sz w:val="22"/>
            <w:szCs w:val="22"/>
          </w:rPr>
          <w:tab/>
        </w:r>
        <w:r w:rsidR="00C17533" w:rsidRPr="00590B3C">
          <w:rPr>
            <w:rStyle w:val="Hiperhivatkozs"/>
            <w:noProof/>
          </w:rPr>
          <w:t>A tőke megóvására, illetve a hozamra vonatkozó ígéretet alátámasztó befektetési politika (tőke-, illetve hozamvédelem):</w:t>
        </w:r>
        <w:r w:rsidR="00C17533">
          <w:rPr>
            <w:noProof/>
            <w:webHidden/>
          </w:rPr>
          <w:tab/>
        </w:r>
        <w:r w:rsidR="00C17533">
          <w:rPr>
            <w:noProof/>
            <w:webHidden/>
          </w:rPr>
          <w:fldChar w:fldCharType="begin"/>
        </w:r>
        <w:r w:rsidR="00C17533">
          <w:rPr>
            <w:noProof/>
            <w:webHidden/>
          </w:rPr>
          <w:instrText xml:space="preserve"> PAGEREF _Toc349832336 \h </w:instrText>
        </w:r>
        <w:r w:rsidR="00C17533">
          <w:rPr>
            <w:noProof/>
            <w:webHidden/>
          </w:rPr>
        </w:r>
        <w:r w:rsidR="00C17533">
          <w:rPr>
            <w:noProof/>
            <w:webHidden/>
          </w:rPr>
          <w:fldChar w:fldCharType="separate"/>
        </w:r>
        <w:r w:rsidR="00B455C4">
          <w:rPr>
            <w:noProof/>
            <w:webHidden/>
          </w:rPr>
          <w:t>33</w:t>
        </w:r>
        <w:r w:rsidR="00C17533">
          <w:rPr>
            <w:noProof/>
            <w:webHidden/>
          </w:rPr>
          <w:fldChar w:fldCharType="end"/>
        </w:r>
      </w:hyperlink>
    </w:p>
    <w:p w:rsidR="00C17533" w:rsidRDefault="006B6AC1">
      <w:pPr>
        <w:pStyle w:val="TJ2"/>
        <w:tabs>
          <w:tab w:val="left" w:pos="640"/>
          <w:tab w:val="right" w:leader="dot" w:pos="9061"/>
        </w:tabs>
        <w:rPr>
          <w:rFonts w:asciiTheme="minorHAnsi" w:eastAsiaTheme="minorEastAsia" w:hAnsiTheme="minorHAnsi" w:cstheme="minorBidi"/>
          <w:smallCaps w:val="0"/>
          <w:noProof/>
          <w:sz w:val="22"/>
          <w:szCs w:val="22"/>
        </w:rPr>
      </w:pPr>
      <w:hyperlink w:anchor="_Toc349832337" w:history="1">
        <w:r w:rsidR="00C17533" w:rsidRPr="00590B3C">
          <w:rPr>
            <w:rStyle w:val="Hiperhivatkozs"/>
            <w:noProof/>
          </w:rPr>
          <w:t>35.</w:t>
        </w:r>
        <w:r w:rsidR="00C17533">
          <w:rPr>
            <w:rFonts w:asciiTheme="minorHAnsi" w:eastAsiaTheme="minorEastAsia" w:hAnsiTheme="minorHAnsi" w:cstheme="minorBidi"/>
            <w:smallCaps w:val="0"/>
            <w:noProof/>
            <w:sz w:val="22"/>
            <w:szCs w:val="22"/>
          </w:rPr>
          <w:tab/>
        </w:r>
        <w:r w:rsidR="00C17533" w:rsidRPr="00590B3C">
          <w:rPr>
            <w:rStyle w:val="Hiperhivatkozs"/>
            <w:noProof/>
          </w:rPr>
          <w:t>Az adott tárgykörre vonatkozó egyéb információk:</w:t>
        </w:r>
        <w:r w:rsidR="00C17533">
          <w:rPr>
            <w:noProof/>
            <w:webHidden/>
          </w:rPr>
          <w:tab/>
        </w:r>
        <w:r w:rsidR="00C17533">
          <w:rPr>
            <w:noProof/>
            <w:webHidden/>
          </w:rPr>
          <w:fldChar w:fldCharType="begin"/>
        </w:r>
        <w:r w:rsidR="00C17533">
          <w:rPr>
            <w:noProof/>
            <w:webHidden/>
          </w:rPr>
          <w:instrText xml:space="preserve"> PAGEREF _Toc349832337 \h </w:instrText>
        </w:r>
        <w:r w:rsidR="00C17533">
          <w:rPr>
            <w:noProof/>
            <w:webHidden/>
          </w:rPr>
        </w:r>
        <w:r w:rsidR="00C17533">
          <w:rPr>
            <w:noProof/>
            <w:webHidden/>
          </w:rPr>
          <w:fldChar w:fldCharType="separate"/>
        </w:r>
        <w:r w:rsidR="00B455C4">
          <w:rPr>
            <w:noProof/>
            <w:webHidden/>
          </w:rPr>
          <w:t>33</w:t>
        </w:r>
        <w:r w:rsidR="00C17533">
          <w:rPr>
            <w:noProof/>
            <w:webHidden/>
          </w:rPr>
          <w:fldChar w:fldCharType="end"/>
        </w:r>
      </w:hyperlink>
    </w:p>
    <w:p w:rsidR="00C17533" w:rsidRDefault="006B6AC1">
      <w:pPr>
        <w:pStyle w:val="TJ1"/>
        <w:tabs>
          <w:tab w:val="left" w:pos="800"/>
          <w:tab w:val="right" w:leader="dot" w:pos="9061"/>
        </w:tabs>
        <w:rPr>
          <w:rFonts w:asciiTheme="minorHAnsi" w:eastAsiaTheme="minorEastAsia" w:hAnsiTheme="minorHAnsi" w:cstheme="minorBidi"/>
          <w:b w:val="0"/>
          <w:bCs w:val="0"/>
          <w:caps w:val="0"/>
          <w:noProof/>
          <w:sz w:val="22"/>
          <w:szCs w:val="22"/>
        </w:rPr>
      </w:pPr>
      <w:hyperlink w:anchor="_Toc349832338" w:history="1">
        <w:r w:rsidR="00C17533" w:rsidRPr="00590B3C">
          <w:rPr>
            <w:rStyle w:val="Hiperhivatkozs"/>
            <w:rFonts w:ascii="Verdana" w:hAnsi="Verdana"/>
            <w:noProof/>
          </w:rPr>
          <w:t>VIII.</w:t>
        </w:r>
        <w:r w:rsidR="00C17533">
          <w:rPr>
            <w:rFonts w:asciiTheme="minorHAnsi" w:eastAsiaTheme="minorEastAsia" w:hAnsiTheme="minorHAnsi" w:cstheme="minorBidi"/>
            <w:b w:val="0"/>
            <w:bCs w:val="0"/>
            <w:caps w:val="0"/>
            <w:noProof/>
            <w:sz w:val="22"/>
            <w:szCs w:val="22"/>
          </w:rPr>
          <w:tab/>
        </w:r>
        <w:r w:rsidR="00C17533" w:rsidRPr="00590B3C">
          <w:rPr>
            <w:rStyle w:val="Hiperhivatkozs"/>
            <w:rFonts w:ascii="Verdana" w:hAnsi="Verdana"/>
            <w:noProof/>
          </w:rPr>
          <w:t>Díjak és költségek</w:t>
        </w:r>
        <w:r w:rsidR="00C17533">
          <w:rPr>
            <w:noProof/>
            <w:webHidden/>
          </w:rPr>
          <w:tab/>
        </w:r>
        <w:r w:rsidR="00C17533">
          <w:rPr>
            <w:noProof/>
            <w:webHidden/>
          </w:rPr>
          <w:fldChar w:fldCharType="begin"/>
        </w:r>
        <w:r w:rsidR="00C17533">
          <w:rPr>
            <w:noProof/>
            <w:webHidden/>
          </w:rPr>
          <w:instrText xml:space="preserve"> PAGEREF _Toc349832338 \h </w:instrText>
        </w:r>
        <w:r w:rsidR="00C17533">
          <w:rPr>
            <w:noProof/>
            <w:webHidden/>
          </w:rPr>
        </w:r>
        <w:r w:rsidR="00C17533">
          <w:rPr>
            <w:noProof/>
            <w:webHidden/>
          </w:rPr>
          <w:fldChar w:fldCharType="separate"/>
        </w:r>
        <w:r w:rsidR="00B455C4">
          <w:rPr>
            <w:noProof/>
            <w:webHidden/>
          </w:rPr>
          <w:t>34</w:t>
        </w:r>
        <w:r w:rsidR="00C17533">
          <w:rPr>
            <w:noProof/>
            <w:webHidden/>
          </w:rPr>
          <w:fldChar w:fldCharType="end"/>
        </w:r>
      </w:hyperlink>
    </w:p>
    <w:p w:rsidR="00C17533" w:rsidRDefault="006B6AC1">
      <w:pPr>
        <w:pStyle w:val="TJ2"/>
        <w:tabs>
          <w:tab w:val="left" w:pos="640"/>
          <w:tab w:val="right" w:leader="dot" w:pos="9061"/>
        </w:tabs>
        <w:rPr>
          <w:rFonts w:asciiTheme="minorHAnsi" w:eastAsiaTheme="minorEastAsia" w:hAnsiTheme="minorHAnsi" w:cstheme="minorBidi"/>
          <w:smallCaps w:val="0"/>
          <w:noProof/>
          <w:sz w:val="22"/>
          <w:szCs w:val="22"/>
        </w:rPr>
      </w:pPr>
      <w:hyperlink w:anchor="_Toc349832339" w:history="1">
        <w:r w:rsidR="00C17533" w:rsidRPr="00590B3C">
          <w:rPr>
            <w:rStyle w:val="Hiperhivatkozs"/>
            <w:noProof/>
          </w:rPr>
          <w:t>36.</w:t>
        </w:r>
        <w:r w:rsidR="00C17533">
          <w:rPr>
            <w:rFonts w:asciiTheme="minorHAnsi" w:eastAsiaTheme="minorEastAsia" w:hAnsiTheme="minorHAnsi" w:cstheme="minorBidi"/>
            <w:smallCaps w:val="0"/>
            <w:noProof/>
            <w:sz w:val="22"/>
            <w:szCs w:val="22"/>
          </w:rPr>
          <w:tab/>
        </w:r>
        <w:r w:rsidR="00C17533" w:rsidRPr="00590B3C">
          <w:rPr>
            <w:rStyle w:val="Hiperhivatkozs"/>
            <w:noProof/>
          </w:rPr>
          <w:t>A befektetési alapot terhelő díjak, költségek mértéke és az alapra terhelésük módja</w:t>
        </w:r>
        <w:r w:rsidR="00C17533">
          <w:rPr>
            <w:noProof/>
            <w:webHidden/>
          </w:rPr>
          <w:tab/>
        </w:r>
        <w:r w:rsidR="00C17533">
          <w:rPr>
            <w:noProof/>
            <w:webHidden/>
          </w:rPr>
          <w:fldChar w:fldCharType="begin"/>
        </w:r>
        <w:r w:rsidR="00C17533">
          <w:rPr>
            <w:noProof/>
            <w:webHidden/>
          </w:rPr>
          <w:instrText xml:space="preserve"> PAGEREF _Toc349832339 \h </w:instrText>
        </w:r>
        <w:r w:rsidR="00C17533">
          <w:rPr>
            <w:noProof/>
            <w:webHidden/>
          </w:rPr>
        </w:r>
        <w:r w:rsidR="00C17533">
          <w:rPr>
            <w:noProof/>
            <w:webHidden/>
          </w:rPr>
          <w:fldChar w:fldCharType="separate"/>
        </w:r>
        <w:r w:rsidR="00B455C4">
          <w:rPr>
            <w:noProof/>
            <w:webHidden/>
          </w:rPr>
          <w:t>34</w:t>
        </w:r>
        <w:r w:rsidR="00C17533">
          <w:rPr>
            <w:noProof/>
            <w:webHidden/>
          </w:rPr>
          <w:fldChar w:fldCharType="end"/>
        </w:r>
      </w:hyperlink>
    </w:p>
    <w:p w:rsidR="00C17533" w:rsidRDefault="006B6AC1">
      <w:pPr>
        <w:pStyle w:val="TJ2"/>
        <w:tabs>
          <w:tab w:val="left" w:pos="800"/>
          <w:tab w:val="right" w:leader="dot" w:pos="9061"/>
        </w:tabs>
        <w:rPr>
          <w:rFonts w:asciiTheme="minorHAnsi" w:eastAsiaTheme="minorEastAsia" w:hAnsiTheme="minorHAnsi" w:cstheme="minorBidi"/>
          <w:smallCaps w:val="0"/>
          <w:noProof/>
          <w:sz w:val="22"/>
          <w:szCs w:val="22"/>
        </w:rPr>
      </w:pPr>
      <w:hyperlink w:anchor="_Toc349832340" w:history="1">
        <w:r w:rsidR="00C17533" w:rsidRPr="00590B3C">
          <w:rPr>
            <w:rStyle w:val="Hiperhivatkozs"/>
            <w:noProof/>
          </w:rPr>
          <w:t>36.1.</w:t>
        </w:r>
        <w:r w:rsidR="00C17533">
          <w:rPr>
            <w:rFonts w:asciiTheme="minorHAnsi" w:eastAsiaTheme="minorEastAsia" w:hAnsiTheme="minorHAnsi" w:cstheme="minorBidi"/>
            <w:smallCaps w:val="0"/>
            <w:noProof/>
            <w:sz w:val="22"/>
            <w:szCs w:val="22"/>
          </w:rPr>
          <w:tab/>
        </w:r>
        <w:r w:rsidR="00C17533" w:rsidRPr="00590B3C">
          <w:rPr>
            <w:rStyle w:val="Hiperhivatkozs"/>
            <w:noProof/>
          </w:rPr>
          <w:t>A befektetési alap által az alapkezelő társaság részére fizetendő díjak, költségek összege, kiszámításának leírása, az alapra terhelésük és kiegyenlítésük módja:</w:t>
        </w:r>
        <w:r w:rsidR="00C17533">
          <w:rPr>
            <w:noProof/>
            <w:webHidden/>
          </w:rPr>
          <w:tab/>
        </w:r>
        <w:r w:rsidR="00C17533">
          <w:rPr>
            <w:noProof/>
            <w:webHidden/>
          </w:rPr>
          <w:fldChar w:fldCharType="begin"/>
        </w:r>
        <w:r w:rsidR="00C17533">
          <w:rPr>
            <w:noProof/>
            <w:webHidden/>
          </w:rPr>
          <w:instrText xml:space="preserve"> PAGEREF _Toc349832340 \h </w:instrText>
        </w:r>
        <w:r w:rsidR="00C17533">
          <w:rPr>
            <w:noProof/>
            <w:webHidden/>
          </w:rPr>
        </w:r>
        <w:r w:rsidR="00C17533">
          <w:rPr>
            <w:noProof/>
            <w:webHidden/>
          </w:rPr>
          <w:fldChar w:fldCharType="separate"/>
        </w:r>
        <w:r w:rsidR="00B455C4">
          <w:rPr>
            <w:noProof/>
            <w:webHidden/>
          </w:rPr>
          <w:t>34</w:t>
        </w:r>
        <w:r w:rsidR="00C17533">
          <w:rPr>
            <w:noProof/>
            <w:webHidden/>
          </w:rPr>
          <w:fldChar w:fldCharType="end"/>
        </w:r>
      </w:hyperlink>
    </w:p>
    <w:p w:rsidR="00C17533" w:rsidRDefault="006B6AC1">
      <w:pPr>
        <w:pStyle w:val="TJ2"/>
        <w:tabs>
          <w:tab w:val="left" w:pos="800"/>
          <w:tab w:val="right" w:leader="dot" w:pos="9061"/>
        </w:tabs>
        <w:rPr>
          <w:rFonts w:asciiTheme="minorHAnsi" w:eastAsiaTheme="minorEastAsia" w:hAnsiTheme="minorHAnsi" w:cstheme="minorBidi"/>
          <w:smallCaps w:val="0"/>
          <w:noProof/>
          <w:sz w:val="22"/>
          <w:szCs w:val="22"/>
        </w:rPr>
      </w:pPr>
      <w:hyperlink w:anchor="_Toc349832341" w:history="1">
        <w:r w:rsidR="00C17533" w:rsidRPr="00590B3C">
          <w:rPr>
            <w:rStyle w:val="Hiperhivatkozs"/>
            <w:noProof/>
          </w:rPr>
          <w:t>36.2.</w:t>
        </w:r>
        <w:r w:rsidR="00C17533">
          <w:rPr>
            <w:rFonts w:asciiTheme="minorHAnsi" w:eastAsiaTheme="minorEastAsia" w:hAnsiTheme="minorHAnsi" w:cstheme="minorBidi"/>
            <w:smallCaps w:val="0"/>
            <w:noProof/>
            <w:sz w:val="22"/>
            <w:szCs w:val="22"/>
          </w:rPr>
          <w:tab/>
        </w:r>
        <w:r w:rsidR="00C17533" w:rsidRPr="00590B3C">
          <w:rPr>
            <w:rStyle w:val="Hiperhivatkozs"/>
            <w:noProof/>
          </w:rPr>
          <w:t>Amennyiben azt a befektetési alap közvetlenül fizeti, a befektetési alap által a letétkezelő részére fizetendő díjak, költségek összege, kiszámításának leírása, az alapra terhelésük és kiegyenlítésük módja:</w:t>
        </w:r>
        <w:r w:rsidR="00C17533">
          <w:rPr>
            <w:noProof/>
            <w:webHidden/>
          </w:rPr>
          <w:tab/>
        </w:r>
        <w:r w:rsidR="00C17533">
          <w:rPr>
            <w:noProof/>
            <w:webHidden/>
          </w:rPr>
          <w:fldChar w:fldCharType="begin"/>
        </w:r>
        <w:r w:rsidR="00C17533">
          <w:rPr>
            <w:noProof/>
            <w:webHidden/>
          </w:rPr>
          <w:instrText xml:space="preserve"> PAGEREF _Toc349832341 \h </w:instrText>
        </w:r>
        <w:r w:rsidR="00C17533">
          <w:rPr>
            <w:noProof/>
            <w:webHidden/>
          </w:rPr>
        </w:r>
        <w:r w:rsidR="00C17533">
          <w:rPr>
            <w:noProof/>
            <w:webHidden/>
          </w:rPr>
          <w:fldChar w:fldCharType="separate"/>
        </w:r>
        <w:r w:rsidR="00B455C4">
          <w:rPr>
            <w:noProof/>
            <w:webHidden/>
          </w:rPr>
          <w:t>34</w:t>
        </w:r>
        <w:r w:rsidR="00C17533">
          <w:rPr>
            <w:noProof/>
            <w:webHidden/>
          </w:rPr>
          <w:fldChar w:fldCharType="end"/>
        </w:r>
      </w:hyperlink>
    </w:p>
    <w:p w:rsidR="00C17533" w:rsidRDefault="006B6AC1">
      <w:pPr>
        <w:pStyle w:val="TJ2"/>
        <w:tabs>
          <w:tab w:val="left" w:pos="800"/>
          <w:tab w:val="right" w:leader="dot" w:pos="9061"/>
        </w:tabs>
        <w:rPr>
          <w:rFonts w:asciiTheme="minorHAnsi" w:eastAsiaTheme="minorEastAsia" w:hAnsiTheme="minorHAnsi" w:cstheme="minorBidi"/>
          <w:smallCaps w:val="0"/>
          <w:noProof/>
          <w:sz w:val="22"/>
          <w:szCs w:val="22"/>
        </w:rPr>
      </w:pPr>
      <w:hyperlink w:anchor="_Toc349832342" w:history="1">
        <w:r w:rsidR="00C17533" w:rsidRPr="00590B3C">
          <w:rPr>
            <w:rStyle w:val="Hiperhivatkozs"/>
            <w:noProof/>
          </w:rPr>
          <w:t>36.3.</w:t>
        </w:r>
        <w:r w:rsidR="00C17533">
          <w:rPr>
            <w:rFonts w:asciiTheme="minorHAnsi" w:eastAsiaTheme="minorEastAsia" w:hAnsiTheme="minorHAnsi" w:cstheme="minorBidi"/>
            <w:smallCaps w:val="0"/>
            <w:noProof/>
            <w:sz w:val="22"/>
            <w:szCs w:val="22"/>
          </w:rPr>
          <w:tab/>
        </w:r>
        <w:r w:rsidR="00C17533" w:rsidRPr="00590B3C">
          <w:rPr>
            <w:rStyle w:val="Hiperhivatkozs"/>
            <w:noProof/>
          </w:rPr>
          <w:t>Amennyiben azt a befektetési alap közvetlenül fizeti, a befektetési alap által egyéb felek, harmadik személyek részére fizetendő díjak, költségek összege, kiszámításának leírása, az alapra terhelésük és kiegyenlítésük módja:</w:t>
        </w:r>
        <w:r w:rsidR="00C17533">
          <w:rPr>
            <w:noProof/>
            <w:webHidden/>
          </w:rPr>
          <w:tab/>
        </w:r>
        <w:r w:rsidR="00C17533">
          <w:rPr>
            <w:noProof/>
            <w:webHidden/>
          </w:rPr>
          <w:fldChar w:fldCharType="begin"/>
        </w:r>
        <w:r w:rsidR="00C17533">
          <w:rPr>
            <w:noProof/>
            <w:webHidden/>
          </w:rPr>
          <w:instrText xml:space="preserve"> PAGEREF _Toc349832342 \h </w:instrText>
        </w:r>
        <w:r w:rsidR="00C17533">
          <w:rPr>
            <w:noProof/>
            <w:webHidden/>
          </w:rPr>
        </w:r>
        <w:r w:rsidR="00C17533">
          <w:rPr>
            <w:noProof/>
            <w:webHidden/>
          </w:rPr>
          <w:fldChar w:fldCharType="separate"/>
        </w:r>
        <w:r w:rsidR="00B455C4">
          <w:rPr>
            <w:noProof/>
            <w:webHidden/>
          </w:rPr>
          <w:t>34</w:t>
        </w:r>
        <w:r w:rsidR="00C17533">
          <w:rPr>
            <w:noProof/>
            <w:webHidden/>
          </w:rPr>
          <w:fldChar w:fldCharType="end"/>
        </w:r>
      </w:hyperlink>
    </w:p>
    <w:p w:rsidR="00C17533" w:rsidRDefault="006B6AC1">
      <w:pPr>
        <w:pStyle w:val="TJ2"/>
        <w:tabs>
          <w:tab w:val="left" w:pos="640"/>
          <w:tab w:val="right" w:leader="dot" w:pos="9061"/>
        </w:tabs>
        <w:rPr>
          <w:rFonts w:asciiTheme="minorHAnsi" w:eastAsiaTheme="minorEastAsia" w:hAnsiTheme="minorHAnsi" w:cstheme="minorBidi"/>
          <w:smallCaps w:val="0"/>
          <w:noProof/>
          <w:sz w:val="22"/>
          <w:szCs w:val="22"/>
        </w:rPr>
      </w:pPr>
      <w:hyperlink w:anchor="_Toc349832343" w:history="1">
        <w:r w:rsidR="00C17533" w:rsidRPr="00590B3C">
          <w:rPr>
            <w:rStyle w:val="Hiperhivatkozs"/>
            <w:noProof/>
          </w:rPr>
          <w:t>37.</w:t>
        </w:r>
        <w:r w:rsidR="00C17533">
          <w:rPr>
            <w:rFonts w:asciiTheme="minorHAnsi" w:eastAsiaTheme="minorEastAsia" w:hAnsiTheme="minorHAnsi" w:cstheme="minorBidi"/>
            <w:smallCaps w:val="0"/>
            <w:noProof/>
            <w:sz w:val="22"/>
            <w:szCs w:val="22"/>
          </w:rPr>
          <w:tab/>
        </w:r>
        <w:r w:rsidR="00C17533" w:rsidRPr="00590B3C">
          <w:rPr>
            <w:rStyle w:val="Hiperhivatkozs"/>
            <w:noProof/>
          </w:rPr>
          <w:t>A befektetési alapot és a befektetőket terhelő egyéb lehetséges költségek vagy díjak, kivéve a 36. pontban említett költségeket:</w:t>
        </w:r>
        <w:r w:rsidR="00C17533">
          <w:rPr>
            <w:noProof/>
            <w:webHidden/>
          </w:rPr>
          <w:tab/>
        </w:r>
        <w:r w:rsidR="00C17533">
          <w:rPr>
            <w:noProof/>
            <w:webHidden/>
          </w:rPr>
          <w:fldChar w:fldCharType="begin"/>
        </w:r>
        <w:r w:rsidR="00C17533">
          <w:rPr>
            <w:noProof/>
            <w:webHidden/>
          </w:rPr>
          <w:instrText xml:space="preserve"> PAGEREF _Toc349832343 \h </w:instrText>
        </w:r>
        <w:r w:rsidR="00C17533">
          <w:rPr>
            <w:noProof/>
            <w:webHidden/>
          </w:rPr>
        </w:r>
        <w:r w:rsidR="00C17533">
          <w:rPr>
            <w:noProof/>
            <w:webHidden/>
          </w:rPr>
          <w:fldChar w:fldCharType="separate"/>
        </w:r>
        <w:r w:rsidR="00B455C4">
          <w:rPr>
            <w:noProof/>
            <w:webHidden/>
          </w:rPr>
          <w:t>34</w:t>
        </w:r>
        <w:r w:rsidR="00C17533">
          <w:rPr>
            <w:noProof/>
            <w:webHidden/>
          </w:rPr>
          <w:fldChar w:fldCharType="end"/>
        </w:r>
      </w:hyperlink>
    </w:p>
    <w:p w:rsidR="00C17533" w:rsidRDefault="006B6AC1">
      <w:pPr>
        <w:pStyle w:val="TJ2"/>
        <w:tabs>
          <w:tab w:val="left" w:pos="640"/>
          <w:tab w:val="right" w:leader="dot" w:pos="9061"/>
        </w:tabs>
        <w:rPr>
          <w:rFonts w:asciiTheme="minorHAnsi" w:eastAsiaTheme="minorEastAsia" w:hAnsiTheme="minorHAnsi" w:cstheme="minorBidi"/>
          <w:smallCaps w:val="0"/>
          <w:noProof/>
          <w:sz w:val="22"/>
          <w:szCs w:val="22"/>
        </w:rPr>
      </w:pPr>
      <w:hyperlink w:anchor="_Toc349832344" w:history="1">
        <w:r w:rsidR="00C17533" w:rsidRPr="00590B3C">
          <w:rPr>
            <w:rStyle w:val="Hiperhivatkozs"/>
            <w:noProof/>
          </w:rPr>
          <w:t>38.</w:t>
        </w:r>
        <w:r w:rsidR="00C17533">
          <w:rPr>
            <w:rFonts w:asciiTheme="minorHAnsi" w:eastAsiaTheme="minorEastAsia" w:hAnsiTheme="minorHAnsi" w:cstheme="minorBidi"/>
            <w:smallCaps w:val="0"/>
            <w:noProof/>
            <w:sz w:val="22"/>
            <w:szCs w:val="22"/>
          </w:rPr>
          <w:tab/>
        </w:r>
        <w:r w:rsidR="00C17533" w:rsidRPr="00590B3C">
          <w:rPr>
            <w:rStyle w:val="Hiperhivatkozs"/>
            <w:noProof/>
          </w:rPr>
          <w:t>Ha a befektetési alap eszközeinek legalább 20 százalékát más kollektív befektetési formákba fekteti, a befektetési célként szereplő egyéb kollektív befektetési formákat terhelő alapkezelési díjak legmagasabb mérték e:</w:t>
        </w:r>
        <w:r w:rsidR="00C17533">
          <w:rPr>
            <w:noProof/>
            <w:webHidden/>
          </w:rPr>
          <w:tab/>
        </w:r>
        <w:r w:rsidR="00C17533">
          <w:rPr>
            <w:noProof/>
            <w:webHidden/>
          </w:rPr>
          <w:fldChar w:fldCharType="begin"/>
        </w:r>
        <w:r w:rsidR="00C17533">
          <w:rPr>
            <w:noProof/>
            <w:webHidden/>
          </w:rPr>
          <w:instrText xml:space="preserve"> PAGEREF _Toc349832344 \h </w:instrText>
        </w:r>
        <w:r w:rsidR="00C17533">
          <w:rPr>
            <w:noProof/>
            <w:webHidden/>
          </w:rPr>
        </w:r>
        <w:r w:rsidR="00C17533">
          <w:rPr>
            <w:noProof/>
            <w:webHidden/>
          </w:rPr>
          <w:fldChar w:fldCharType="separate"/>
        </w:r>
        <w:r w:rsidR="00B455C4">
          <w:rPr>
            <w:noProof/>
            <w:webHidden/>
          </w:rPr>
          <w:t>34</w:t>
        </w:r>
        <w:r w:rsidR="00C17533">
          <w:rPr>
            <w:noProof/>
            <w:webHidden/>
          </w:rPr>
          <w:fldChar w:fldCharType="end"/>
        </w:r>
      </w:hyperlink>
    </w:p>
    <w:p w:rsidR="00C17533" w:rsidRDefault="006B6AC1">
      <w:pPr>
        <w:pStyle w:val="TJ2"/>
        <w:tabs>
          <w:tab w:val="left" w:pos="640"/>
          <w:tab w:val="right" w:leader="dot" w:pos="9061"/>
        </w:tabs>
        <w:rPr>
          <w:rFonts w:asciiTheme="minorHAnsi" w:eastAsiaTheme="minorEastAsia" w:hAnsiTheme="minorHAnsi" w:cstheme="minorBidi"/>
          <w:smallCaps w:val="0"/>
          <w:noProof/>
          <w:sz w:val="22"/>
          <w:szCs w:val="22"/>
        </w:rPr>
      </w:pPr>
      <w:hyperlink w:anchor="_Toc349832345" w:history="1">
        <w:r w:rsidR="00C17533" w:rsidRPr="00590B3C">
          <w:rPr>
            <w:rStyle w:val="Hiperhivatkozs"/>
            <w:noProof/>
          </w:rPr>
          <w:t>39.</w:t>
        </w:r>
        <w:r w:rsidR="00C17533">
          <w:rPr>
            <w:rFonts w:asciiTheme="minorHAnsi" w:eastAsiaTheme="minorEastAsia" w:hAnsiTheme="minorHAnsi" w:cstheme="minorBidi"/>
            <w:smallCaps w:val="0"/>
            <w:noProof/>
            <w:sz w:val="22"/>
            <w:szCs w:val="22"/>
          </w:rPr>
          <w:tab/>
        </w:r>
        <w:r w:rsidR="00C17533" w:rsidRPr="00590B3C">
          <w:rPr>
            <w:rStyle w:val="Hiperhivatkozs"/>
            <w:noProof/>
          </w:rPr>
          <w:t>A részalapok közötti váltás feltételei és költségei:</w:t>
        </w:r>
        <w:r w:rsidR="00C17533">
          <w:rPr>
            <w:noProof/>
            <w:webHidden/>
          </w:rPr>
          <w:tab/>
        </w:r>
        <w:r w:rsidR="00C17533">
          <w:rPr>
            <w:noProof/>
            <w:webHidden/>
          </w:rPr>
          <w:fldChar w:fldCharType="begin"/>
        </w:r>
        <w:r w:rsidR="00C17533">
          <w:rPr>
            <w:noProof/>
            <w:webHidden/>
          </w:rPr>
          <w:instrText xml:space="preserve"> PAGEREF _Toc349832345 \h </w:instrText>
        </w:r>
        <w:r w:rsidR="00C17533">
          <w:rPr>
            <w:noProof/>
            <w:webHidden/>
          </w:rPr>
        </w:r>
        <w:r w:rsidR="00C17533">
          <w:rPr>
            <w:noProof/>
            <w:webHidden/>
          </w:rPr>
          <w:fldChar w:fldCharType="separate"/>
        </w:r>
        <w:r w:rsidR="00B455C4">
          <w:rPr>
            <w:noProof/>
            <w:webHidden/>
          </w:rPr>
          <w:t>35</w:t>
        </w:r>
        <w:r w:rsidR="00C17533">
          <w:rPr>
            <w:noProof/>
            <w:webHidden/>
          </w:rPr>
          <w:fldChar w:fldCharType="end"/>
        </w:r>
      </w:hyperlink>
    </w:p>
    <w:p w:rsidR="00C17533" w:rsidRDefault="006B6AC1">
      <w:pPr>
        <w:pStyle w:val="TJ2"/>
        <w:tabs>
          <w:tab w:val="left" w:pos="640"/>
          <w:tab w:val="right" w:leader="dot" w:pos="9061"/>
        </w:tabs>
        <w:rPr>
          <w:rFonts w:asciiTheme="minorHAnsi" w:eastAsiaTheme="minorEastAsia" w:hAnsiTheme="minorHAnsi" w:cstheme="minorBidi"/>
          <w:smallCaps w:val="0"/>
          <w:noProof/>
          <w:sz w:val="22"/>
          <w:szCs w:val="22"/>
        </w:rPr>
      </w:pPr>
      <w:hyperlink w:anchor="_Toc349832346" w:history="1">
        <w:r w:rsidR="00C17533" w:rsidRPr="00590B3C">
          <w:rPr>
            <w:rStyle w:val="Hiperhivatkozs"/>
            <w:noProof/>
          </w:rPr>
          <w:t>40.</w:t>
        </w:r>
        <w:r w:rsidR="00C17533">
          <w:rPr>
            <w:rFonts w:asciiTheme="minorHAnsi" w:eastAsiaTheme="minorEastAsia" w:hAnsiTheme="minorHAnsi" w:cstheme="minorBidi"/>
            <w:smallCaps w:val="0"/>
            <w:noProof/>
            <w:sz w:val="22"/>
            <w:szCs w:val="22"/>
          </w:rPr>
          <w:tab/>
        </w:r>
        <w:r w:rsidR="00C17533" w:rsidRPr="00590B3C">
          <w:rPr>
            <w:rStyle w:val="Hiperhivatkozs"/>
            <w:noProof/>
          </w:rPr>
          <w:t>Az adott tárgykörre vonatkozó egyéb információk:</w:t>
        </w:r>
        <w:r w:rsidR="00C17533">
          <w:rPr>
            <w:noProof/>
            <w:webHidden/>
          </w:rPr>
          <w:tab/>
        </w:r>
        <w:r w:rsidR="00C17533">
          <w:rPr>
            <w:noProof/>
            <w:webHidden/>
          </w:rPr>
          <w:fldChar w:fldCharType="begin"/>
        </w:r>
        <w:r w:rsidR="00C17533">
          <w:rPr>
            <w:noProof/>
            <w:webHidden/>
          </w:rPr>
          <w:instrText xml:space="preserve"> PAGEREF _Toc349832346 \h </w:instrText>
        </w:r>
        <w:r w:rsidR="00C17533">
          <w:rPr>
            <w:noProof/>
            <w:webHidden/>
          </w:rPr>
        </w:r>
        <w:r w:rsidR="00C17533">
          <w:rPr>
            <w:noProof/>
            <w:webHidden/>
          </w:rPr>
          <w:fldChar w:fldCharType="separate"/>
        </w:r>
        <w:r w:rsidR="00B455C4">
          <w:rPr>
            <w:noProof/>
            <w:webHidden/>
          </w:rPr>
          <w:t>35</w:t>
        </w:r>
        <w:r w:rsidR="00C17533">
          <w:rPr>
            <w:noProof/>
            <w:webHidden/>
          </w:rPr>
          <w:fldChar w:fldCharType="end"/>
        </w:r>
      </w:hyperlink>
    </w:p>
    <w:p w:rsidR="00C17533" w:rsidRDefault="006B6AC1">
      <w:pPr>
        <w:pStyle w:val="TJ1"/>
        <w:tabs>
          <w:tab w:val="left" w:pos="640"/>
          <w:tab w:val="right" w:leader="dot" w:pos="9061"/>
        </w:tabs>
        <w:rPr>
          <w:rFonts w:asciiTheme="minorHAnsi" w:eastAsiaTheme="minorEastAsia" w:hAnsiTheme="minorHAnsi" w:cstheme="minorBidi"/>
          <w:b w:val="0"/>
          <w:bCs w:val="0"/>
          <w:caps w:val="0"/>
          <w:noProof/>
          <w:sz w:val="22"/>
          <w:szCs w:val="22"/>
        </w:rPr>
      </w:pPr>
      <w:hyperlink w:anchor="_Toc349832347" w:history="1">
        <w:r w:rsidR="00C17533" w:rsidRPr="00590B3C">
          <w:rPr>
            <w:rStyle w:val="Hiperhivatkozs"/>
            <w:rFonts w:ascii="Verdana" w:hAnsi="Verdana"/>
            <w:noProof/>
          </w:rPr>
          <w:t>IX.</w:t>
        </w:r>
        <w:r w:rsidR="00C17533">
          <w:rPr>
            <w:rFonts w:asciiTheme="minorHAnsi" w:eastAsiaTheme="minorEastAsia" w:hAnsiTheme="minorHAnsi" w:cstheme="minorBidi"/>
            <w:b w:val="0"/>
            <w:bCs w:val="0"/>
            <w:caps w:val="0"/>
            <w:noProof/>
            <w:sz w:val="22"/>
            <w:szCs w:val="22"/>
          </w:rPr>
          <w:tab/>
        </w:r>
        <w:r w:rsidR="00C17533" w:rsidRPr="00590B3C">
          <w:rPr>
            <w:rStyle w:val="Hiperhivatkozs"/>
            <w:rFonts w:ascii="Verdana" w:hAnsi="Verdana"/>
            <w:noProof/>
          </w:rPr>
          <w:t>A befektetési jegyek folyamatos forgalmazása</w:t>
        </w:r>
        <w:r w:rsidR="00C17533">
          <w:rPr>
            <w:noProof/>
            <w:webHidden/>
          </w:rPr>
          <w:tab/>
        </w:r>
        <w:r w:rsidR="00C17533">
          <w:rPr>
            <w:noProof/>
            <w:webHidden/>
          </w:rPr>
          <w:fldChar w:fldCharType="begin"/>
        </w:r>
        <w:r w:rsidR="00C17533">
          <w:rPr>
            <w:noProof/>
            <w:webHidden/>
          </w:rPr>
          <w:instrText xml:space="preserve"> PAGEREF _Toc349832347 \h </w:instrText>
        </w:r>
        <w:r w:rsidR="00C17533">
          <w:rPr>
            <w:noProof/>
            <w:webHidden/>
          </w:rPr>
        </w:r>
        <w:r w:rsidR="00C17533">
          <w:rPr>
            <w:noProof/>
            <w:webHidden/>
          </w:rPr>
          <w:fldChar w:fldCharType="separate"/>
        </w:r>
        <w:r w:rsidR="00B455C4">
          <w:rPr>
            <w:noProof/>
            <w:webHidden/>
          </w:rPr>
          <w:t>36</w:t>
        </w:r>
        <w:r w:rsidR="00C17533">
          <w:rPr>
            <w:noProof/>
            <w:webHidden/>
          </w:rPr>
          <w:fldChar w:fldCharType="end"/>
        </w:r>
      </w:hyperlink>
    </w:p>
    <w:p w:rsidR="00C17533" w:rsidRDefault="006B6AC1">
      <w:pPr>
        <w:pStyle w:val="TJ2"/>
        <w:tabs>
          <w:tab w:val="left" w:pos="640"/>
          <w:tab w:val="right" w:leader="dot" w:pos="9061"/>
        </w:tabs>
        <w:rPr>
          <w:rFonts w:asciiTheme="minorHAnsi" w:eastAsiaTheme="minorEastAsia" w:hAnsiTheme="minorHAnsi" w:cstheme="minorBidi"/>
          <w:smallCaps w:val="0"/>
          <w:noProof/>
          <w:sz w:val="22"/>
          <w:szCs w:val="22"/>
        </w:rPr>
      </w:pPr>
      <w:hyperlink w:anchor="_Toc349832348" w:history="1">
        <w:r w:rsidR="00C17533" w:rsidRPr="00590B3C">
          <w:rPr>
            <w:rStyle w:val="Hiperhivatkozs"/>
            <w:noProof/>
          </w:rPr>
          <w:t>41.</w:t>
        </w:r>
        <w:r w:rsidR="00C17533">
          <w:rPr>
            <w:rFonts w:asciiTheme="minorHAnsi" w:eastAsiaTheme="minorEastAsia" w:hAnsiTheme="minorHAnsi" w:cstheme="minorBidi"/>
            <w:smallCaps w:val="0"/>
            <w:noProof/>
            <w:sz w:val="22"/>
            <w:szCs w:val="22"/>
          </w:rPr>
          <w:tab/>
        </w:r>
        <w:r w:rsidR="00C17533" w:rsidRPr="00590B3C">
          <w:rPr>
            <w:rStyle w:val="Hiperhivatkozs"/>
            <w:noProof/>
          </w:rPr>
          <w:t>A befektetési jegyek vétele:</w:t>
        </w:r>
        <w:r w:rsidR="00C17533">
          <w:rPr>
            <w:noProof/>
            <w:webHidden/>
          </w:rPr>
          <w:tab/>
        </w:r>
        <w:r w:rsidR="00C17533">
          <w:rPr>
            <w:noProof/>
            <w:webHidden/>
          </w:rPr>
          <w:fldChar w:fldCharType="begin"/>
        </w:r>
        <w:r w:rsidR="00C17533">
          <w:rPr>
            <w:noProof/>
            <w:webHidden/>
          </w:rPr>
          <w:instrText xml:space="preserve"> PAGEREF _Toc349832348 \h </w:instrText>
        </w:r>
        <w:r w:rsidR="00C17533">
          <w:rPr>
            <w:noProof/>
            <w:webHidden/>
          </w:rPr>
        </w:r>
        <w:r w:rsidR="00C17533">
          <w:rPr>
            <w:noProof/>
            <w:webHidden/>
          </w:rPr>
          <w:fldChar w:fldCharType="separate"/>
        </w:r>
        <w:r w:rsidR="00B455C4">
          <w:rPr>
            <w:noProof/>
            <w:webHidden/>
          </w:rPr>
          <w:t>36</w:t>
        </w:r>
        <w:r w:rsidR="00C17533">
          <w:rPr>
            <w:noProof/>
            <w:webHidden/>
          </w:rPr>
          <w:fldChar w:fldCharType="end"/>
        </w:r>
      </w:hyperlink>
    </w:p>
    <w:p w:rsidR="00C17533" w:rsidRDefault="006B6AC1">
      <w:pPr>
        <w:pStyle w:val="TJ2"/>
        <w:tabs>
          <w:tab w:val="left" w:pos="800"/>
          <w:tab w:val="right" w:leader="dot" w:pos="9061"/>
        </w:tabs>
        <w:rPr>
          <w:rFonts w:asciiTheme="minorHAnsi" w:eastAsiaTheme="minorEastAsia" w:hAnsiTheme="minorHAnsi" w:cstheme="minorBidi"/>
          <w:smallCaps w:val="0"/>
          <w:noProof/>
          <w:sz w:val="22"/>
          <w:szCs w:val="22"/>
        </w:rPr>
      </w:pPr>
      <w:hyperlink w:anchor="_Toc349832349" w:history="1">
        <w:r w:rsidR="00C17533" w:rsidRPr="00590B3C">
          <w:rPr>
            <w:rStyle w:val="Hiperhivatkozs"/>
            <w:noProof/>
          </w:rPr>
          <w:t>41.1.</w:t>
        </w:r>
        <w:r w:rsidR="00C17533">
          <w:rPr>
            <w:rFonts w:asciiTheme="minorHAnsi" w:eastAsiaTheme="minorEastAsia" w:hAnsiTheme="minorHAnsi" w:cstheme="minorBidi"/>
            <w:smallCaps w:val="0"/>
            <w:noProof/>
            <w:sz w:val="22"/>
            <w:szCs w:val="22"/>
          </w:rPr>
          <w:tab/>
        </w:r>
        <w:r w:rsidR="00C17533" w:rsidRPr="00590B3C">
          <w:rPr>
            <w:rStyle w:val="Hiperhivatkozs"/>
            <w:noProof/>
          </w:rPr>
          <w:t>A vételi megbízások felvétele, elszámolása, teljesítése, felvételének napon belüli határideje:</w:t>
        </w:r>
        <w:r w:rsidR="00C17533">
          <w:rPr>
            <w:noProof/>
            <w:webHidden/>
          </w:rPr>
          <w:tab/>
        </w:r>
        <w:r w:rsidR="00C17533">
          <w:rPr>
            <w:noProof/>
            <w:webHidden/>
          </w:rPr>
          <w:fldChar w:fldCharType="begin"/>
        </w:r>
        <w:r w:rsidR="00C17533">
          <w:rPr>
            <w:noProof/>
            <w:webHidden/>
          </w:rPr>
          <w:instrText xml:space="preserve"> PAGEREF _Toc349832349 \h </w:instrText>
        </w:r>
        <w:r w:rsidR="00C17533">
          <w:rPr>
            <w:noProof/>
            <w:webHidden/>
          </w:rPr>
        </w:r>
        <w:r w:rsidR="00C17533">
          <w:rPr>
            <w:noProof/>
            <w:webHidden/>
          </w:rPr>
          <w:fldChar w:fldCharType="separate"/>
        </w:r>
        <w:r w:rsidR="00B455C4">
          <w:rPr>
            <w:noProof/>
            <w:webHidden/>
          </w:rPr>
          <w:t>36</w:t>
        </w:r>
        <w:r w:rsidR="00C17533">
          <w:rPr>
            <w:noProof/>
            <w:webHidden/>
          </w:rPr>
          <w:fldChar w:fldCharType="end"/>
        </w:r>
      </w:hyperlink>
    </w:p>
    <w:p w:rsidR="00C17533" w:rsidRDefault="006B6AC1">
      <w:pPr>
        <w:pStyle w:val="TJ2"/>
        <w:tabs>
          <w:tab w:val="left" w:pos="800"/>
          <w:tab w:val="right" w:leader="dot" w:pos="9061"/>
        </w:tabs>
        <w:rPr>
          <w:rFonts w:asciiTheme="minorHAnsi" w:eastAsiaTheme="minorEastAsia" w:hAnsiTheme="minorHAnsi" w:cstheme="minorBidi"/>
          <w:smallCaps w:val="0"/>
          <w:noProof/>
          <w:sz w:val="22"/>
          <w:szCs w:val="22"/>
        </w:rPr>
      </w:pPr>
      <w:hyperlink w:anchor="_Toc349832350" w:history="1">
        <w:r w:rsidR="00C17533" w:rsidRPr="00590B3C">
          <w:rPr>
            <w:rStyle w:val="Hiperhivatkozs"/>
            <w:noProof/>
          </w:rPr>
          <w:t>41.2.</w:t>
        </w:r>
        <w:r w:rsidR="00C17533">
          <w:rPr>
            <w:rFonts w:asciiTheme="minorHAnsi" w:eastAsiaTheme="minorEastAsia" w:hAnsiTheme="minorHAnsi" w:cstheme="minorBidi"/>
            <w:smallCaps w:val="0"/>
            <w:noProof/>
            <w:sz w:val="22"/>
            <w:szCs w:val="22"/>
          </w:rPr>
          <w:tab/>
        </w:r>
        <w:r w:rsidR="00C17533" w:rsidRPr="00590B3C">
          <w:rPr>
            <w:rStyle w:val="Hiperhivatkozs"/>
            <w:noProof/>
          </w:rPr>
          <w:t>A vételi megbízásokra vonatkozó forgalmazás-elszámolási nap:</w:t>
        </w:r>
        <w:r w:rsidR="00C17533">
          <w:rPr>
            <w:noProof/>
            <w:webHidden/>
          </w:rPr>
          <w:tab/>
        </w:r>
        <w:r w:rsidR="00C17533">
          <w:rPr>
            <w:noProof/>
            <w:webHidden/>
          </w:rPr>
          <w:fldChar w:fldCharType="begin"/>
        </w:r>
        <w:r w:rsidR="00C17533">
          <w:rPr>
            <w:noProof/>
            <w:webHidden/>
          </w:rPr>
          <w:instrText xml:space="preserve"> PAGEREF _Toc349832350 \h </w:instrText>
        </w:r>
        <w:r w:rsidR="00C17533">
          <w:rPr>
            <w:noProof/>
            <w:webHidden/>
          </w:rPr>
        </w:r>
        <w:r w:rsidR="00C17533">
          <w:rPr>
            <w:noProof/>
            <w:webHidden/>
          </w:rPr>
          <w:fldChar w:fldCharType="separate"/>
        </w:r>
        <w:r w:rsidR="00B455C4">
          <w:rPr>
            <w:noProof/>
            <w:webHidden/>
          </w:rPr>
          <w:t>36</w:t>
        </w:r>
        <w:r w:rsidR="00C17533">
          <w:rPr>
            <w:noProof/>
            <w:webHidden/>
          </w:rPr>
          <w:fldChar w:fldCharType="end"/>
        </w:r>
      </w:hyperlink>
    </w:p>
    <w:p w:rsidR="00C17533" w:rsidRDefault="006B6AC1">
      <w:pPr>
        <w:pStyle w:val="TJ2"/>
        <w:tabs>
          <w:tab w:val="left" w:pos="800"/>
          <w:tab w:val="right" w:leader="dot" w:pos="9061"/>
        </w:tabs>
        <w:rPr>
          <w:rFonts w:asciiTheme="minorHAnsi" w:eastAsiaTheme="minorEastAsia" w:hAnsiTheme="minorHAnsi" w:cstheme="minorBidi"/>
          <w:smallCaps w:val="0"/>
          <w:noProof/>
          <w:sz w:val="22"/>
          <w:szCs w:val="22"/>
        </w:rPr>
      </w:pPr>
      <w:hyperlink w:anchor="_Toc349832351" w:history="1">
        <w:r w:rsidR="00C17533" w:rsidRPr="00590B3C">
          <w:rPr>
            <w:rStyle w:val="Hiperhivatkozs"/>
            <w:noProof/>
          </w:rPr>
          <w:t>41.3.</w:t>
        </w:r>
        <w:r w:rsidR="00C17533">
          <w:rPr>
            <w:rFonts w:asciiTheme="minorHAnsi" w:eastAsiaTheme="minorEastAsia" w:hAnsiTheme="minorHAnsi" w:cstheme="minorBidi"/>
            <w:smallCaps w:val="0"/>
            <w:noProof/>
            <w:sz w:val="22"/>
            <w:szCs w:val="22"/>
          </w:rPr>
          <w:tab/>
        </w:r>
        <w:r w:rsidR="00C17533" w:rsidRPr="00590B3C">
          <w:rPr>
            <w:rStyle w:val="Hiperhivatkozs"/>
            <w:noProof/>
          </w:rPr>
          <w:t>A vételi megbízásokra vonatkozó forgalmazás-teljesítési nap:</w:t>
        </w:r>
        <w:r w:rsidR="00C17533">
          <w:rPr>
            <w:noProof/>
            <w:webHidden/>
          </w:rPr>
          <w:tab/>
        </w:r>
        <w:r w:rsidR="00C17533">
          <w:rPr>
            <w:noProof/>
            <w:webHidden/>
          </w:rPr>
          <w:fldChar w:fldCharType="begin"/>
        </w:r>
        <w:r w:rsidR="00C17533">
          <w:rPr>
            <w:noProof/>
            <w:webHidden/>
          </w:rPr>
          <w:instrText xml:space="preserve"> PAGEREF _Toc349832351 \h </w:instrText>
        </w:r>
        <w:r w:rsidR="00C17533">
          <w:rPr>
            <w:noProof/>
            <w:webHidden/>
          </w:rPr>
        </w:r>
        <w:r w:rsidR="00C17533">
          <w:rPr>
            <w:noProof/>
            <w:webHidden/>
          </w:rPr>
          <w:fldChar w:fldCharType="separate"/>
        </w:r>
        <w:r w:rsidR="00B455C4">
          <w:rPr>
            <w:noProof/>
            <w:webHidden/>
          </w:rPr>
          <w:t>36</w:t>
        </w:r>
        <w:r w:rsidR="00C17533">
          <w:rPr>
            <w:noProof/>
            <w:webHidden/>
          </w:rPr>
          <w:fldChar w:fldCharType="end"/>
        </w:r>
      </w:hyperlink>
    </w:p>
    <w:p w:rsidR="00C17533" w:rsidRDefault="006B6AC1">
      <w:pPr>
        <w:pStyle w:val="TJ2"/>
        <w:tabs>
          <w:tab w:val="left" w:pos="640"/>
          <w:tab w:val="right" w:leader="dot" w:pos="9061"/>
        </w:tabs>
        <w:rPr>
          <w:rFonts w:asciiTheme="minorHAnsi" w:eastAsiaTheme="minorEastAsia" w:hAnsiTheme="minorHAnsi" w:cstheme="minorBidi"/>
          <w:smallCaps w:val="0"/>
          <w:noProof/>
          <w:sz w:val="22"/>
          <w:szCs w:val="22"/>
        </w:rPr>
      </w:pPr>
      <w:hyperlink w:anchor="_Toc349832352" w:history="1">
        <w:r w:rsidR="00C17533" w:rsidRPr="00590B3C">
          <w:rPr>
            <w:rStyle w:val="Hiperhivatkozs"/>
            <w:noProof/>
          </w:rPr>
          <w:t>42.</w:t>
        </w:r>
        <w:r w:rsidR="00C17533">
          <w:rPr>
            <w:rFonts w:asciiTheme="minorHAnsi" w:eastAsiaTheme="minorEastAsia" w:hAnsiTheme="minorHAnsi" w:cstheme="minorBidi"/>
            <w:smallCaps w:val="0"/>
            <w:noProof/>
            <w:sz w:val="22"/>
            <w:szCs w:val="22"/>
          </w:rPr>
          <w:tab/>
        </w:r>
        <w:r w:rsidR="00C17533" w:rsidRPr="00590B3C">
          <w:rPr>
            <w:rStyle w:val="Hiperhivatkozs"/>
            <w:noProof/>
          </w:rPr>
          <w:t>A befektetési jegyek visszaváltása:</w:t>
        </w:r>
        <w:r w:rsidR="00C17533">
          <w:rPr>
            <w:noProof/>
            <w:webHidden/>
          </w:rPr>
          <w:tab/>
        </w:r>
        <w:r w:rsidR="00C17533">
          <w:rPr>
            <w:noProof/>
            <w:webHidden/>
          </w:rPr>
          <w:fldChar w:fldCharType="begin"/>
        </w:r>
        <w:r w:rsidR="00C17533">
          <w:rPr>
            <w:noProof/>
            <w:webHidden/>
          </w:rPr>
          <w:instrText xml:space="preserve"> PAGEREF _Toc349832352 \h </w:instrText>
        </w:r>
        <w:r w:rsidR="00C17533">
          <w:rPr>
            <w:noProof/>
            <w:webHidden/>
          </w:rPr>
        </w:r>
        <w:r w:rsidR="00C17533">
          <w:rPr>
            <w:noProof/>
            <w:webHidden/>
          </w:rPr>
          <w:fldChar w:fldCharType="separate"/>
        </w:r>
        <w:r w:rsidR="00B455C4">
          <w:rPr>
            <w:noProof/>
            <w:webHidden/>
          </w:rPr>
          <w:t>36</w:t>
        </w:r>
        <w:r w:rsidR="00C17533">
          <w:rPr>
            <w:noProof/>
            <w:webHidden/>
          </w:rPr>
          <w:fldChar w:fldCharType="end"/>
        </w:r>
      </w:hyperlink>
    </w:p>
    <w:p w:rsidR="00C17533" w:rsidRDefault="006B6AC1">
      <w:pPr>
        <w:pStyle w:val="TJ2"/>
        <w:tabs>
          <w:tab w:val="left" w:pos="800"/>
          <w:tab w:val="right" w:leader="dot" w:pos="9061"/>
        </w:tabs>
        <w:rPr>
          <w:rFonts w:asciiTheme="minorHAnsi" w:eastAsiaTheme="minorEastAsia" w:hAnsiTheme="minorHAnsi" w:cstheme="minorBidi"/>
          <w:smallCaps w:val="0"/>
          <w:noProof/>
          <w:sz w:val="22"/>
          <w:szCs w:val="22"/>
        </w:rPr>
      </w:pPr>
      <w:hyperlink w:anchor="_Toc349832353" w:history="1">
        <w:r w:rsidR="00C17533" w:rsidRPr="00590B3C">
          <w:rPr>
            <w:rStyle w:val="Hiperhivatkozs"/>
            <w:noProof/>
          </w:rPr>
          <w:t>42.1.</w:t>
        </w:r>
        <w:r w:rsidR="00C17533">
          <w:rPr>
            <w:rFonts w:asciiTheme="minorHAnsi" w:eastAsiaTheme="minorEastAsia" w:hAnsiTheme="minorHAnsi" w:cstheme="minorBidi"/>
            <w:smallCaps w:val="0"/>
            <w:noProof/>
            <w:sz w:val="22"/>
            <w:szCs w:val="22"/>
          </w:rPr>
          <w:tab/>
        </w:r>
        <w:r w:rsidR="00C17533" w:rsidRPr="00590B3C">
          <w:rPr>
            <w:rStyle w:val="Hiperhivatkozs"/>
            <w:noProof/>
          </w:rPr>
          <w:t>A visszaváltási megbízások felvétele, elszámolása, teljesítése, felvételének napon belüli határideje:</w:t>
        </w:r>
        <w:r w:rsidR="00C17533">
          <w:rPr>
            <w:noProof/>
            <w:webHidden/>
          </w:rPr>
          <w:tab/>
        </w:r>
        <w:r w:rsidR="00C17533">
          <w:rPr>
            <w:noProof/>
            <w:webHidden/>
          </w:rPr>
          <w:fldChar w:fldCharType="begin"/>
        </w:r>
        <w:r w:rsidR="00C17533">
          <w:rPr>
            <w:noProof/>
            <w:webHidden/>
          </w:rPr>
          <w:instrText xml:space="preserve"> PAGEREF _Toc349832353 \h </w:instrText>
        </w:r>
        <w:r w:rsidR="00C17533">
          <w:rPr>
            <w:noProof/>
            <w:webHidden/>
          </w:rPr>
        </w:r>
        <w:r w:rsidR="00C17533">
          <w:rPr>
            <w:noProof/>
            <w:webHidden/>
          </w:rPr>
          <w:fldChar w:fldCharType="separate"/>
        </w:r>
        <w:r w:rsidR="00B455C4">
          <w:rPr>
            <w:noProof/>
            <w:webHidden/>
          </w:rPr>
          <w:t>36</w:t>
        </w:r>
        <w:r w:rsidR="00C17533">
          <w:rPr>
            <w:noProof/>
            <w:webHidden/>
          </w:rPr>
          <w:fldChar w:fldCharType="end"/>
        </w:r>
      </w:hyperlink>
    </w:p>
    <w:p w:rsidR="00C17533" w:rsidRDefault="006B6AC1">
      <w:pPr>
        <w:pStyle w:val="TJ2"/>
        <w:tabs>
          <w:tab w:val="left" w:pos="800"/>
          <w:tab w:val="right" w:leader="dot" w:pos="9061"/>
        </w:tabs>
        <w:rPr>
          <w:rFonts w:asciiTheme="minorHAnsi" w:eastAsiaTheme="minorEastAsia" w:hAnsiTheme="minorHAnsi" w:cstheme="minorBidi"/>
          <w:smallCaps w:val="0"/>
          <w:noProof/>
          <w:sz w:val="22"/>
          <w:szCs w:val="22"/>
        </w:rPr>
      </w:pPr>
      <w:hyperlink w:anchor="_Toc349832354" w:history="1">
        <w:r w:rsidR="00C17533" w:rsidRPr="00590B3C">
          <w:rPr>
            <w:rStyle w:val="Hiperhivatkozs"/>
            <w:noProof/>
          </w:rPr>
          <w:t>42.2.</w:t>
        </w:r>
        <w:r w:rsidR="00C17533">
          <w:rPr>
            <w:rFonts w:asciiTheme="minorHAnsi" w:eastAsiaTheme="minorEastAsia" w:hAnsiTheme="minorHAnsi" w:cstheme="minorBidi"/>
            <w:smallCaps w:val="0"/>
            <w:noProof/>
            <w:sz w:val="22"/>
            <w:szCs w:val="22"/>
          </w:rPr>
          <w:tab/>
        </w:r>
        <w:r w:rsidR="00C17533" w:rsidRPr="00590B3C">
          <w:rPr>
            <w:rStyle w:val="Hiperhivatkozs"/>
            <w:noProof/>
          </w:rPr>
          <w:t>A visszaváltási megbízásokra vonatkozó forgalmazás-elszámolási nap:</w:t>
        </w:r>
        <w:r w:rsidR="00C17533">
          <w:rPr>
            <w:noProof/>
            <w:webHidden/>
          </w:rPr>
          <w:tab/>
        </w:r>
        <w:r w:rsidR="00C17533">
          <w:rPr>
            <w:noProof/>
            <w:webHidden/>
          </w:rPr>
          <w:fldChar w:fldCharType="begin"/>
        </w:r>
        <w:r w:rsidR="00C17533">
          <w:rPr>
            <w:noProof/>
            <w:webHidden/>
          </w:rPr>
          <w:instrText xml:space="preserve"> PAGEREF _Toc349832354 \h </w:instrText>
        </w:r>
        <w:r w:rsidR="00C17533">
          <w:rPr>
            <w:noProof/>
            <w:webHidden/>
          </w:rPr>
        </w:r>
        <w:r w:rsidR="00C17533">
          <w:rPr>
            <w:noProof/>
            <w:webHidden/>
          </w:rPr>
          <w:fldChar w:fldCharType="separate"/>
        </w:r>
        <w:r w:rsidR="00B455C4">
          <w:rPr>
            <w:noProof/>
            <w:webHidden/>
          </w:rPr>
          <w:t>37</w:t>
        </w:r>
        <w:r w:rsidR="00C17533">
          <w:rPr>
            <w:noProof/>
            <w:webHidden/>
          </w:rPr>
          <w:fldChar w:fldCharType="end"/>
        </w:r>
      </w:hyperlink>
    </w:p>
    <w:p w:rsidR="00C17533" w:rsidRDefault="006B6AC1">
      <w:pPr>
        <w:pStyle w:val="TJ2"/>
        <w:tabs>
          <w:tab w:val="left" w:pos="800"/>
          <w:tab w:val="right" w:leader="dot" w:pos="9061"/>
        </w:tabs>
        <w:rPr>
          <w:rFonts w:asciiTheme="minorHAnsi" w:eastAsiaTheme="minorEastAsia" w:hAnsiTheme="minorHAnsi" w:cstheme="minorBidi"/>
          <w:smallCaps w:val="0"/>
          <w:noProof/>
          <w:sz w:val="22"/>
          <w:szCs w:val="22"/>
        </w:rPr>
      </w:pPr>
      <w:hyperlink w:anchor="_Toc349832355" w:history="1">
        <w:r w:rsidR="00C17533" w:rsidRPr="00590B3C">
          <w:rPr>
            <w:rStyle w:val="Hiperhivatkozs"/>
            <w:noProof/>
          </w:rPr>
          <w:t>42.3.</w:t>
        </w:r>
        <w:r w:rsidR="00C17533">
          <w:rPr>
            <w:rFonts w:asciiTheme="minorHAnsi" w:eastAsiaTheme="minorEastAsia" w:hAnsiTheme="minorHAnsi" w:cstheme="minorBidi"/>
            <w:smallCaps w:val="0"/>
            <w:noProof/>
            <w:sz w:val="22"/>
            <w:szCs w:val="22"/>
          </w:rPr>
          <w:tab/>
        </w:r>
        <w:r w:rsidR="00C17533" w:rsidRPr="00590B3C">
          <w:rPr>
            <w:rStyle w:val="Hiperhivatkozs"/>
            <w:noProof/>
          </w:rPr>
          <w:t>A visszaváltási megbízásokra vonatkozó forgalmazás-teljesítési nap:</w:t>
        </w:r>
        <w:r w:rsidR="00C17533">
          <w:rPr>
            <w:noProof/>
            <w:webHidden/>
          </w:rPr>
          <w:tab/>
        </w:r>
        <w:r w:rsidR="00C17533">
          <w:rPr>
            <w:noProof/>
            <w:webHidden/>
          </w:rPr>
          <w:fldChar w:fldCharType="begin"/>
        </w:r>
        <w:r w:rsidR="00C17533">
          <w:rPr>
            <w:noProof/>
            <w:webHidden/>
          </w:rPr>
          <w:instrText xml:space="preserve"> PAGEREF _Toc349832355 \h </w:instrText>
        </w:r>
        <w:r w:rsidR="00C17533">
          <w:rPr>
            <w:noProof/>
            <w:webHidden/>
          </w:rPr>
        </w:r>
        <w:r w:rsidR="00C17533">
          <w:rPr>
            <w:noProof/>
            <w:webHidden/>
          </w:rPr>
          <w:fldChar w:fldCharType="separate"/>
        </w:r>
        <w:r w:rsidR="00B455C4">
          <w:rPr>
            <w:noProof/>
            <w:webHidden/>
          </w:rPr>
          <w:t>37</w:t>
        </w:r>
        <w:r w:rsidR="00C17533">
          <w:rPr>
            <w:noProof/>
            <w:webHidden/>
          </w:rPr>
          <w:fldChar w:fldCharType="end"/>
        </w:r>
      </w:hyperlink>
    </w:p>
    <w:p w:rsidR="00C17533" w:rsidRDefault="006B6AC1">
      <w:pPr>
        <w:pStyle w:val="TJ2"/>
        <w:tabs>
          <w:tab w:val="left" w:pos="640"/>
          <w:tab w:val="right" w:leader="dot" w:pos="9061"/>
        </w:tabs>
        <w:rPr>
          <w:rFonts w:asciiTheme="minorHAnsi" w:eastAsiaTheme="minorEastAsia" w:hAnsiTheme="minorHAnsi" w:cstheme="minorBidi"/>
          <w:smallCaps w:val="0"/>
          <w:noProof/>
          <w:sz w:val="22"/>
          <w:szCs w:val="22"/>
        </w:rPr>
      </w:pPr>
      <w:hyperlink w:anchor="_Toc349832356" w:history="1">
        <w:r w:rsidR="00C17533" w:rsidRPr="00590B3C">
          <w:rPr>
            <w:rStyle w:val="Hiperhivatkozs"/>
            <w:noProof/>
          </w:rPr>
          <w:t>43.</w:t>
        </w:r>
        <w:r w:rsidR="00C17533">
          <w:rPr>
            <w:rFonts w:asciiTheme="minorHAnsi" w:eastAsiaTheme="minorEastAsia" w:hAnsiTheme="minorHAnsi" w:cstheme="minorBidi"/>
            <w:smallCaps w:val="0"/>
            <w:noProof/>
            <w:sz w:val="22"/>
            <w:szCs w:val="22"/>
          </w:rPr>
          <w:tab/>
        </w:r>
        <w:r w:rsidR="00C17533" w:rsidRPr="00590B3C">
          <w:rPr>
            <w:rStyle w:val="Hiperhivatkozs"/>
            <w:noProof/>
          </w:rPr>
          <w:t>A befektetési jegyek folyamatos forgalmazásának részletszabályai:</w:t>
        </w:r>
        <w:r w:rsidR="00C17533">
          <w:rPr>
            <w:noProof/>
            <w:webHidden/>
          </w:rPr>
          <w:tab/>
        </w:r>
        <w:r w:rsidR="00C17533">
          <w:rPr>
            <w:noProof/>
            <w:webHidden/>
          </w:rPr>
          <w:fldChar w:fldCharType="begin"/>
        </w:r>
        <w:r w:rsidR="00C17533">
          <w:rPr>
            <w:noProof/>
            <w:webHidden/>
          </w:rPr>
          <w:instrText xml:space="preserve"> PAGEREF _Toc349832356 \h </w:instrText>
        </w:r>
        <w:r w:rsidR="00C17533">
          <w:rPr>
            <w:noProof/>
            <w:webHidden/>
          </w:rPr>
        </w:r>
        <w:r w:rsidR="00C17533">
          <w:rPr>
            <w:noProof/>
            <w:webHidden/>
          </w:rPr>
          <w:fldChar w:fldCharType="separate"/>
        </w:r>
        <w:r w:rsidR="00B455C4">
          <w:rPr>
            <w:noProof/>
            <w:webHidden/>
          </w:rPr>
          <w:t>37</w:t>
        </w:r>
        <w:r w:rsidR="00C17533">
          <w:rPr>
            <w:noProof/>
            <w:webHidden/>
          </w:rPr>
          <w:fldChar w:fldCharType="end"/>
        </w:r>
      </w:hyperlink>
    </w:p>
    <w:p w:rsidR="00C17533" w:rsidRDefault="006B6AC1">
      <w:pPr>
        <w:pStyle w:val="TJ2"/>
        <w:tabs>
          <w:tab w:val="left" w:pos="800"/>
          <w:tab w:val="right" w:leader="dot" w:pos="9061"/>
        </w:tabs>
        <w:rPr>
          <w:rFonts w:asciiTheme="minorHAnsi" w:eastAsiaTheme="minorEastAsia" w:hAnsiTheme="minorHAnsi" w:cstheme="minorBidi"/>
          <w:smallCaps w:val="0"/>
          <w:noProof/>
          <w:sz w:val="22"/>
          <w:szCs w:val="22"/>
        </w:rPr>
      </w:pPr>
      <w:hyperlink w:anchor="_Toc349832357" w:history="1">
        <w:r w:rsidR="00C17533" w:rsidRPr="00590B3C">
          <w:rPr>
            <w:rStyle w:val="Hiperhivatkozs"/>
            <w:noProof/>
          </w:rPr>
          <w:t>43.1.</w:t>
        </w:r>
        <w:r w:rsidR="00C17533">
          <w:rPr>
            <w:rFonts w:asciiTheme="minorHAnsi" w:eastAsiaTheme="minorEastAsia" w:hAnsiTheme="minorHAnsi" w:cstheme="minorBidi"/>
            <w:smallCaps w:val="0"/>
            <w:noProof/>
            <w:sz w:val="22"/>
            <w:szCs w:val="22"/>
          </w:rPr>
          <w:tab/>
        </w:r>
        <w:r w:rsidR="00C17533" w:rsidRPr="00590B3C">
          <w:rPr>
            <w:rStyle w:val="Hiperhivatkozs"/>
            <w:noProof/>
          </w:rPr>
          <w:t>A forgalmazási maximum mértéke:</w:t>
        </w:r>
        <w:r w:rsidR="00C17533">
          <w:rPr>
            <w:noProof/>
            <w:webHidden/>
          </w:rPr>
          <w:tab/>
        </w:r>
        <w:r w:rsidR="00C17533">
          <w:rPr>
            <w:noProof/>
            <w:webHidden/>
          </w:rPr>
          <w:fldChar w:fldCharType="begin"/>
        </w:r>
        <w:r w:rsidR="00C17533">
          <w:rPr>
            <w:noProof/>
            <w:webHidden/>
          </w:rPr>
          <w:instrText xml:space="preserve"> PAGEREF _Toc349832357 \h </w:instrText>
        </w:r>
        <w:r w:rsidR="00C17533">
          <w:rPr>
            <w:noProof/>
            <w:webHidden/>
          </w:rPr>
        </w:r>
        <w:r w:rsidR="00C17533">
          <w:rPr>
            <w:noProof/>
            <w:webHidden/>
          </w:rPr>
          <w:fldChar w:fldCharType="separate"/>
        </w:r>
        <w:r w:rsidR="00B455C4">
          <w:rPr>
            <w:noProof/>
            <w:webHidden/>
          </w:rPr>
          <w:t>37</w:t>
        </w:r>
        <w:r w:rsidR="00C17533">
          <w:rPr>
            <w:noProof/>
            <w:webHidden/>
          </w:rPr>
          <w:fldChar w:fldCharType="end"/>
        </w:r>
      </w:hyperlink>
    </w:p>
    <w:p w:rsidR="00C17533" w:rsidRDefault="006B6AC1">
      <w:pPr>
        <w:pStyle w:val="TJ2"/>
        <w:tabs>
          <w:tab w:val="left" w:pos="800"/>
          <w:tab w:val="right" w:leader="dot" w:pos="9061"/>
        </w:tabs>
        <w:rPr>
          <w:rFonts w:asciiTheme="minorHAnsi" w:eastAsiaTheme="minorEastAsia" w:hAnsiTheme="minorHAnsi" w:cstheme="minorBidi"/>
          <w:smallCaps w:val="0"/>
          <w:noProof/>
          <w:sz w:val="22"/>
          <w:szCs w:val="22"/>
        </w:rPr>
      </w:pPr>
      <w:hyperlink w:anchor="_Toc349832358" w:history="1">
        <w:r w:rsidR="00C17533" w:rsidRPr="00590B3C">
          <w:rPr>
            <w:rStyle w:val="Hiperhivatkozs"/>
            <w:noProof/>
          </w:rPr>
          <w:t>43.2.</w:t>
        </w:r>
        <w:r w:rsidR="00C17533">
          <w:rPr>
            <w:rFonts w:asciiTheme="minorHAnsi" w:eastAsiaTheme="minorEastAsia" w:hAnsiTheme="minorHAnsi" w:cstheme="minorBidi"/>
            <w:smallCaps w:val="0"/>
            <w:noProof/>
            <w:sz w:val="22"/>
            <w:szCs w:val="22"/>
          </w:rPr>
          <w:tab/>
        </w:r>
        <w:r w:rsidR="00C17533" w:rsidRPr="00590B3C">
          <w:rPr>
            <w:rStyle w:val="Hiperhivatkozs"/>
            <w:noProof/>
          </w:rPr>
          <w:t>A forgalmazási maximum elérését követő eljárás, az értékesítés újraindításának pontos feltételei:</w:t>
        </w:r>
        <w:r w:rsidR="00C17533">
          <w:rPr>
            <w:noProof/>
            <w:webHidden/>
          </w:rPr>
          <w:tab/>
        </w:r>
        <w:r w:rsidR="00C17533">
          <w:rPr>
            <w:noProof/>
            <w:webHidden/>
          </w:rPr>
          <w:fldChar w:fldCharType="begin"/>
        </w:r>
        <w:r w:rsidR="00C17533">
          <w:rPr>
            <w:noProof/>
            <w:webHidden/>
          </w:rPr>
          <w:instrText xml:space="preserve"> PAGEREF _Toc349832358 \h </w:instrText>
        </w:r>
        <w:r w:rsidR="00C17533">
          <w:rPr>
            <w:noProof/>
            <w:webHidden/>
          </w:rPr>
        </w:r>
        <w:r w:rsidR="00C17533">
          <w:rPr>
            <w:noProof/>
            <w:webHidden/>
          </w:rPr>
          <w:fldChar w:fldCharType="separate"/>
        </w:r>
        <w:r w:rsidR="00B455C4">
          <w:rPr>
            <w:noProof/>
            <w:webHidden/>
          </w:rPr>
          <w:t>37</w:t>
        </w:r>
        <w:r w:rsidR="00C17533">
          <w:rPr>
            <w:noProof/>
            <w:webHidden/>
          </w:rPr>
          <w:fldChar w:fldCharType="end"/>
        </w:r>
      </w:hyperlink>
    </w:p>
    <w:p w:rsidR="00C17533" w:rsidRDefault="006B6AC1">
      <w:pPr>
        <w:pStyle w:val="TJ2"/>
        <w:tabs>
          <w:tab w:val="left" w:pos="640"/>
          <w:tab w:val="right" w:leader="dot" w:pos="9061"/>
        </w:tabs>
        <w:rPr>
          <w:rFonts w:asciiTheme="minorHAnsi" w:eastAsiaTheme="minorEastAsia" w:hAnsiTheme="minorHAnsi" w:cstheme="minorBidi"/>
          <w:smallCaps w:val="0"/>
          <w:noProof/>
          <w:sz w:val="22"/>
          <w:szCs w:val="22"/>
        </w:rPr>
      </w:pPr>
      <w:hyperlink w:anchor="_Toc349832359" w:history="1">
        <w:r w:rsidR="00C17533" w:rsidRPr="00590B3C">
          <w:rPr>
            <w:rStyle w:val="Hiperhivatkozs"/>
            <w:noProof/>
          </w:rPr>
          <w:t>44.</w:t>
        </w:r>
        <w:r w:rsidR="00C17533">
          <w:rPr>
            <w:rFonts w:asciiTheme="minorHAnsi" w:eastAsiaTheme="minorEastAsia" w:hAnsiTheme="minorHAnsi" w:cstheme="minorBidi"/>
            <w:smallCaps w:val="0"/>
            <w:noProof/>
            <w:sz w:val="22"/>
            <w:szCs w:val="22"/>
          </w:rPr>
          <w:tab/>
        </w:r>
        <w:r w:rsidR="00C17533" w:rsidRPr="00590B3C">
          <w:rPr>
            <w:rStyle w:val="Hiperhivatkozs"/>
            <w:noProof/>
          </w:rPr>
          <w:t>A befektetési jegyek vételi, illetve visszaváltási árának meghatározása:</w:t>
        </w:r>
        <w:r w:rsidR="00C17533">
          <w:rPr>
            <w:noProof/>
            <w:webHidden/>
          </w:rPr>
          <w:tab/>
        </w:r>
        <w:r w:rsidR="00C17533">
          <w:rPr>
            <w:noProof/>
            <w:webHidden/>
          </w:rPr>
          <w:fldChar w:fldCharType="begin"/>
        </w:r>
        <w:r w:rsidR="00C17533">
          <w:rPr>
            <w:noProof/>
            <w:webHidden/>
          </w:rPr>
          <w:instrText xml:space="preserve"> PAGEREF _Toc349832359 \h </w:instrText>
        </w:r>
        <w:r w:rsidR="00C17533">
          <w:rPr>
            <w:noProof/>
            <w:webHidden/>
          </w:rPr>
        </w:r>
        <w:r w:rsidR="00C17533">
          <w:rPr>
            <w:noProof/>
            <w:webHidden/>
          </w:rPr>
          <w:fldChar w:fldCharType="separate"/>
        </w:r>
        <w:r w:rsidR="00B455C4">
          <w:rPr>
            <w:noProof/>
            <w:webHidden/>
          </w:rPr>
          <w:t>37</w:t>
        </w:r>
        <w:r w:rsidR="00C17533">
          <w:rPr>
            <w:noProof/>
            <w:webHidden/>
          </w:rPr>
          <w:fldChar w:fldCharType="end"/>
        </w:r>
      </w:hyperlink>
    </w:p>
    <w:p w:rsidR="00C17533" w:rsidRDefault="006B6AC1">
      <w:pPr>
        <w:pStyle w:val="TJ2"/>
        <w:tabs>
          <w:tab w:val="left" w:pos="800"/>
          <w:tab w:val="right" w:leader="dot" w:pos="9061"/>
        </w:tabs>
        <w:rPr>
          <w:rFonts w:asciiTheme="minorHAnsi" w:eastAsiaTheme="minorEastAsia" w:hAnsiTheme="minorHAnsi" w:cstheme="minorBidi"/>
          <w:smallCaps w:val="0"/>
          <w:noProof/>
          <w:sz w:val="22"/>
          <w:szCs w:val="22"/>
        </w:rPr>
      </w:pPr>
      <w:hyperlink w:anchor="_Toc349832360" w:history="1">
        <w:r w:rsidR="00C17533" w:rsidRPr="00590B3C">
          <w:rPr>
            <w:rStyle w:val="Hiperhivatkozs"/>
            <w:noProof/>
          </w:rPr>
          <w:t>44.1.</w:t>
        </w:r>
        <w:r w:rsidR="00C17533">
          <w:rPr>
            <w:rFonts w:asciiTheme="minorHAnsi" w:eastAsiaTheme="minorEastAsia" w:hAnsiTheme="minorHAnsi" w:cstheme="minorBidi"/>
            <w:smallCaps w:val="0"/>
            <w:noProof/>
            <w:sz w:val="22"/>
            <w:szCs w:val="22"/>
          </w:rPr>
          <w:tab/>
        </w:r>
        <w:r w:rsidR="00C17533" w:rsidRPr="00590B3C">
          <w:rPr>
            <w:rStyle w:val="Hiperhivatkozs"/>
            <w:noProof/>
          </w:rPr>
          <w:t>A fenti árak kiszámításának módszere és gyakorisága:</w:t>
        </w:r>
        <w:r w:rsidR="00C17533">
          <w:rPr>
            <w:noProof/>
            <w:webHidden/>
          </w:rPr>
          <w:tab/>
        </w:r>
        <w:r w:rsidR="00C17533">
          <w:rPr>
            <w:noProof/>
            <w:webHidden/>
          </w:rPr>
          <w:fldChar w:fldCharType="begin"/>
        </w:r>
        <w:r w:rsidR="00C17533">
          <w:rPr>
            <w:noProof/>
            <w:webHidden/>
          </w:rPr>
          <w:instrText xml:space="preserve"> PAGEREF _Toc349832360 \h </w:instrText>
        </w:r>
        <w:r w:rsidR="00C17533">
          <w:rPr>
            <w:noProof/>
            <w:webHidden/>
          </w:rPr>
        </w:r>
        <w:r w:rsidR="00C17533">
          <w:rPr>
            <w:noProof/>
            <w:webHidden/>
          </w:rPr>
          <w:fldChar w:fldCharType="separate"/>
        </w:r>
        <w:r w:rsidR="00B455C4">
          <w:rPr>
            <w:noProof/>
            <w:webHidden/>
          </w:rPr>
          <w:t>37</w:t>
        </w:r>
        <w:r w:rsidR="00C17533">
          <w:rPr>
            <w:noProof/>
            <w:webHidden/>
          </w:rPr>
          <w:fldChar w:fldCharType="end"/>
        </w:r>
      </w:hyperlink>
    </w:p>
    <w:p w:rsidR="00C17533" w:rsidRDefault="006B6AC1">
      <w:pPr>
        <w:pStyle w:val="TJ2"/>
        <w:tabs>
          <w:tab w:val="left" w:pos="800"/>
          <w:tab w:val="right" w:leader="dot" w:pos="9061"/>
        </w:tabs>
        <w:rPr>
          <w:rFonts w:asciiTheme="minorHAnsi" w:eastAsiaTheme="minorEastAsia" w:hAnsiTheme="minorHAnsi" w:cstheme="minorBidi"/>
          <w:smallCaps w:val="0"/>
          <w:noProof/>
          <w:sz w:val="22"/>
          <w:szCs w:val="22"/>
        </w:rPr>
      </w:pPr>
      <w:hyperlink w:anchor="_Toc349832361" w:history="1">
        <w:r w:rsidR="00C17533" w:rsidRPr="00590B3C">
          <w:rPr>
            <w:rStyle w:val="Hiperhivatkozs"/>
            <w:noProof/>
          </w:rPr>
          <w:t>44.2.</w:t>
        </w:r>
        <w:r w:rsidR="00C17533">
          <w:rPr>
            <w:rFonts w:asciiTheme="minorHAnsi" w:eastAsiaTheme="minorEastAsia" w:hAnsiTheme="minorHAnsi" w:cstheme="minorBidi"/>
            <w:smallCaps w:val="0"/>
            <w:noProof/>
            <w:sz w:val="22"/>
            <w:szCs w:val="22"/>
          </w:rPr>
          <w:tab/>
        </w:r>
        <w:r w:rsidR="00C17533" w:rsidRPr="00590B3C">
          <w:rPr>
            <w:rStyle w:val="Hiperhivatkozs"/>
            <w:noProof/>
          </w:rPr>
          <w:t>A befektetési jegyek vételével, visszaváltásával kapcsolatban felszámított forgalmazási jutalékok maximális mértéke és annak megjelölése, hogy ez — részben vagy egészben - a befektetési alapot vagy a forgalmazót vagy a befektetési alapkezelőt illeti-e meg:</w:t>
        </w:r>
        <w:r w:rsidR="00C17533">
          <w:rPr>
            <w:noProof/>
            <w:webHidden/>
          </w:rPr>
          <w:tab/>
        </w:r>
        <w:r w:rsidR="00C17533">
          <w:rPr>
            <w:noProof/>
            <w:webHidden/>
          </w:rPr>
          <w:fldChar w:fldCharType="begin"/>
        </w:r>
        <w:r w:rsidR="00C17533">
          <w:rPr>
            <w:noProof/>
            <w:webHidden/>
          </w:rPr>
          <w:instrText xml:space="preserve"> PAGEREF _Toc349832361 \h </w:instrText>
        </w:r>
        <w:r w:rsidR="00C17533">
          <w:rPr>
            <w:noProof/>
            <w:webHidden/>
          </w:rPr>
        </w:r>
        <w:r w:rsidR="00C17533">
          <w:rPr>
            <w:noProof/>
            <w:webHidden/>
          </w:rPr>
          <w:fldChar w:fldCharType="separate"/>
        </w:r>
        <w:r w:rsidR="00B455C4">
          <w:rPr>
            <w:noProof/>
            <w:webHidden/>
          </w:rPr>
          <w:t>37</w:t>
        </w:r>
        <w:r w:rsidR="00C17533">
          <w:rPr>
            <w:noProof/>
            <w:webHidden/>
          </w:rPr>
          <w:fldChar w:fldCharType="end"/>
        </w:r>
      </w:hyperlink>
    </w:p>
    <w:p w:rsidR="00C17533" w:rsidRDefault="006B6AC1">
      <w:pPr>
        <w:pStyle w:val="TJ2"/>
        <w:tabs>
          <w:tab w:val="left" w:pos="640"/>
          <w:tab w:val="right" w:leader="dot" w:pos="9061"/>
        </w:tabs>
        <w:rPr>
          <w:rFonts w:asciiTheme="minorHAnsi" w:eastAsiaTheme="minorEastAsia" w:hAnsiTheme="minorHAnsi" w:cstheme="minorBidi"/>
          <w:smallCaps w:val="0"/>
          <w:noProof/>
          <w:sz w:val="22"/>
          <w:szCs w:val="22"/>
        </w:rPr>
      </w:pPr>
      <w:hyperlink w:anchor="_Toc349832362" w:history="1">
        <w:r w:rsidR="00C17533" w:rsidRPr="00590B3C">
          <w:rPr>
            <w:rStyle w:val="Hiperhivatkozs"/>
            <w:noProof/>
          </w:rPr>
          <w:t>45.</w:t>
        </w:r>
        <w:r w:rsidR="00C17533">
          <w:rPr>
            <w:rFonts w:asciiTheme="minorHAnsi" w:eastAsiaTheme="minorEastAsia" w:hAnsiTheme="minorHAnsi" w:cstheme="minorBidi"/>
            <w:smallCaps w:val="0"/>
            <w:noProof/>
            <w:sz w:val="22"/>
            <w:szCs w:val="22"/>
          </w:rPr>
          <w:tab/>
        </w:r>
        <w:r w:rsidR="00C17533" w:rsidRPr="00590B3C">
          <w:rPr>
            <w:rStyle w:val="Hiperhivatkozs"/>
            <w:noProof/>
          </w:rPr>
          <w:t>Azoknak a szabályozott piacoknak a feltüntetése, ahol a befektetési jegyeket jegyzik, illetve forgalmazzák:</w:t>
        </w:r>
        <w:r w:rsidR="00C17533">
          <w:rPr>
            <w:noProof/>
            <w:webHidden/>
          </w:rPr>
          <w:tab/>
        </w:r>
        <w:r w:rsidR="00C17533">
          <w:rPr>
            <w:noProof/>
            <w:webHidden/>
          </w:rPr>
          <w:fldChar w:fldCharType="begin"/>
        </w:r>
        <w:r w:rsidR="00C17533">
          <w:rPr>
            <w:noProof/>
            <w:webHidden/>
          </w:rPr>
          <w:instrText xml:space="preserve"> PAGEREF _Toc349832362 \h </w:instrText>
        </w:r>
        <w:r w:rsidR="00C17533">
          <w:rPr>
            <w:noProof/>
            <w:webHidden/>
          </w:rPr>
        </w:r>
        <w:r w:rsidR="00C17533">
          <w:rPr>
            <w:noProof/>
            <w:webHidden/>
          </w:rPr>
          <w:fldChar w:fldCharType="separate"/>
        </w:r>
        <w:r w:rsidR="00B455C4">
          <w:rPr>
            <w:noProof/>
            <w:webHidden/>
          </w:rPr>
          <w:t>37</w:t>
        </w:r>
        <w:r w:rsidR="00C17533">
          <w:rPr>
            <w:noProof/>
            <w:webHidden/>
          </w:rPr>
          <w:fldChar w:fldCharType="end"/>
        </w:r>
      </w:hyperlink>
    </w:p>
    <w:p w:rsidR="00C17533" w:rsidRDefault="006B6AC1">
      <w:pPr>
        <w:pStyle w:val="TJ2"/>
        <w:tabs>
          <w:tab w:val="left" w:pos="640"/>
          <w:tab w:val="right" w:leader="dot" w:pos="9061"/>
        </w:tabs>
        <w:rPr>
          <w:rFonts w:asciiTheme="minorHAnsi" w:eastAsiaTheme="minorEastAsia" w:hAnsiTheme="minorHAnsi" w:cstheme="minorBidi"/>
          <w:smallCaps w:val="0"/>
          <w:noProof/>
          <w:sz w:val="22"/>
          <w:szCs w:val="22"/>
        </w:rPr>
      </w:pPr>
      <w:hyperlink w:anchor="_Toc349832363" w:history="1">
        <w:r w:rsidR="00C17533" w:rsidRPr="00590B3C">
          <w:rPr>
            <w:rStyle w:val="Hiperhivatkozs"/>
            <w:noProof/>
          </w:rPr>
          <w:t>46.</w:t>
        </w:r>
        <w:r w:rsidR="00C17533">
          <w:rPr>
            <w:rFonts w:asciiTheme="minorHAnsi" w:eastAsiaTheme="minorEastAsia" w:hAnsiTheme="minorHAnsi" w:cstheme="minorBidi"/>
            <w:smallCaps w:val="0"/>
            <w:noProof/>
            <w:sz w:val="22"/>
            <w:szCs w:val="22"/>
          </w:rPr>
          <w:tab/>
        </w:r>
        <w:r w:rsidR="00C17533" w:rsidRPr="00590B3C">
          <w:rPr>
            <w:rStyle w:val="Hiperhivatkozs"/>
            <w:noProof/>
          </w:rPr>
          <w:t>Azoknak az államoknak (forgalmazási területeknek) a feltüntetése, ahol a befektetési jegyeket forgalmazzák:</w:t>
        </w:r>
        <w:r w:rsidR="00C17533">
          <w:rPr>
            <w:noProof/>
            <w:webHidden/>
          </w:rPr>
          <w:tab/>
        </w:r>
        <w:r w:rsidR="00C17533">
          <w:rPr>
            <w:noProof/>
            <w:webHidden/>
          </w:rPr>
          <w:fldChar w:fldCharType="begin"/>
        </w:r>
        <w:r w:rsidR="00C17533">
          <w:rPr>
            <w:noProof/>
            <w:webHidden/>
          </w:rPr>
          <w:instrText xml:space="preserve"> PAGEREF _Toc349832363 \h </w:instrText>
        </w:r>
        <w:r w:rsidR="00C17533">
          <w:rPr>
            <w:noProof/>
            <w:webHidden/>
          </w:rPr>
        </w:r>
        <w:r w:rsidR="00C17533">
          <w:rPr>
            <w:noProof/>
            <w:webHidden/>
          </w:rPr>
          <w:fldChar w:fldCharType="separate"/>
        </w:r>
        <w:r w:rsidR="00B455C4">
          <w:rPr>
            <w:noProof/>
            <w:webHidden/>
          </w:rPr>
          <w:t>38</w:t>
        </w:r>
        <w:r w:rsidR="00C17533">
          <w:rPr>
            <w:noProof/>
            <w:webHidden/>
          </w:rPr>
          <w:fldChar w:fldCharType="end"/>
        </w:r>
      </w:hyperlink>
    </w:p>
    <w:p w:rsidR="00C17533" w:rsidRDefault="006B6AC1">
      <w:pPr>
        <w:pStyle w:val="TJ2"/>
        <w:tabs>
          <w:tab w:val="left" w:pos="640"/>
          <w:tab w:val="right" w:leader="dot" w:pos="9061"/>
        </w:tabs>
        <w:rPr>
          <w:rFonts w:asciiTheme="minorHAnsi" w:eastAsiaTheme="minorEastAsia" w:hAnsiTheme="minorHAnsi" w:cstheme="minorBidi"/>
          <w:smallCaps w:val="0"/>
          <w:noProof/>
          <w:sz w:val="22"/>
          <w:szCs w:val="22"/>
        </w:rPr>
      </w:pPr>
      <w:hyperlink w:anchor="_Toc349832364" w:history="1">
        <w:r w:rsidR="00C17533" w:rsidRPr="00590B3C">
          <w:rPr>
            <w:rStyle w:val="Hiperhivatkozs"/>
            <w:noProof/>
          </w:rPr>
          <w:t>47.</w:t>
        </w:r>
        <w:r w:rsidR="00C17533">
          <w:rPr>
            <w:rFonts w:asciiTheme="minorHAnsi" w:eastAsiaTheme="minorEastAsia" w:hAnsiTheme="minorHAnsi" w:cstheme="minorBidi"/>
            <w:smallCaps w:val="0"/>
            <w:noProof/>
            <w:sz w:val="22"/>
            <w:szCs w:val="22"/>
          </w:rPr>
          <w:tab/>
        </w:r>
        <w:r w:rsidR="00C17533" w:rsidRPr="00590B3C">
          <w:rPr>
            <w:rStyle w:val="Hiperhivatkozs"/>
            <w:noProof/>
          </w:rPr>
          <w:t>Az adott tárgykörre vonatkozó egyéb információk:</w:t>
        </w:r>
        <w:r w:rsidR="00C17533">
          <w:rPr>
            <w:noProof/>
            <w:webHidden/>
          </w:rPr>
          <w:tab/>
        </w:r>
        <w:r w:rsidR="00C17533">
          <w:rPr>
            <w:noProof/>
            <w:webHidden/>
          </w:rPr>
          <w:fldChar w:fldCharType="begin"/>
        </w:r>
        <w:r w:rsidR="00C17533">
          <w:rPr>
            <w:noProof/>
            <w:webHidden/>
          </w:rPr>
          <w:instrText xml:space="preserve"> PAGEREF _Toc349832364 \h </w:instrText>
        </w:r>
        <w:r w:rsidR="00C17533">
          <w:rPr>
            <w:noProof/>
            <w:webHidden/>
          </w:rPr>
        </w:r>
        <w:r w:rsidR="00C17533">
          <w:rPr>
            <w:noProof/>
            <w:webHidden/>
          </w:rPr>
          <w:fldChar w:fldCharType="separate"/>
        </w:r>
        <w:r w:rsidR="00B455C4">
          <w:rPr>
            <w:noProof/>
            <w:webHidden/>
          </w:rPr>
          <w:t>38</w:t>
        </w:r>
        <w:r w:rsidR="00C17533">
          <w:rPr>
            <w:noProof/>
            <w:webHidden/>
          </w:rPr>
          <w:fldChar w:fldCharType="end"/>
        </w:r>
      </w:hyperlink>
    </w:p>
    <w:p w:rsidR="00C17533" w:rsidRDefault="006B6AC1">
      <w:pPr>
        <w:pStyle w:val="TJ1"/>
        <w:tabs>
          <w:tab w:val="left" w:pos="480"/>
          <w:tab w:val="right" w:leader="dot" w:pos="9061"/>
        </w:tabs>
        <w:rPr>
          <w:rFonts w:asciiTheme="minorHAnsi" w:eastAsiaTheme="minorEastAsia" w:hAnsiTheme="minorHAnsi" w:cstheme="minorBidi"/>
          <w:b w:val="0"/>
          <w:bCs w:val="0"/>
          <w:caps w:val="0"/>
          <w:noProof/>
          <w:sz w:val="22"/>
          <w:szCs w:val="22"/>
        </w:rPr>
      </w:pPr>
      <w:hyperlink w:anchor="_Toc349832365" w:history="1">
        <w:r w:rsidR="00C17533" w:rsidRPr="00590B3C">
          <w:rPr>
            <w:rStyle w:val="Hiperhivatkozs"/>
            <w:rFonts w:ascii="Verdana" w:hAnsi="Verdana"/>
            <w:noProof/>
          </w:rPr>
          <w:t>X.</w:t>
        </w:r>
        <w:r w:rsidR="00C17533">
          <w:rPr>
            <w:rFonts w:asciiTheme="minorHAnsi" w:eastAsiaTheme="minorEastAsia" w:hAnsiTheme="minorHAnsi" w:cstheme="minorBidi"/>
            <w:b w:val="0"/>
            <w:bCs w:val="0"/>
            <w:caps w:val="0"/>
            <w:noProof/>
            <w:sz w:val="22"/>
            <w:szCs w:val="22"/>
          </w:rPr>
          <w:tab/>
        </w:r>
        <w:r w:rsidR="00C17533" w:rsidRPr="00590B3C">
          <w:rPr>
            <w:rStyle w:val="Hiperhivatkozs"/>
            <w:rFonts w:ascii="Verdana" w:hAnsi="Verdana"/>
            <w:noProof/>
          </w:rPr>
          <w:t>A befektetési alapra vonatkozó további információ</w:t>
        </w:r>
        <w:r w:rsidR="00C17533">
          <w:rPr>
            <w:noProof/>
            <w:webHidden/>
          </w:rPr>
          <w:tab/>
        </w:r>
        <w:r w:rsidR="00C17533">
          <w:rPr>
            <w:noProof/>
            <w:webHidden/>
          </w:rPr>
          <w:fldChar w:fldCharType="begin"/>
        </w:r>
        <w:r w:rsidR="00C17533">
          <w:rPr>
            <w:noProof/>
            <w:webHidden/>
          </w:rPr>
          <w:instrText xml:space="preserve"> PAGEREF _Toc349832365 \h </w:instrText>
        </w:r>
        <w:r w:rsidR="00C17533">
          <w:rPr>
            <w:noProof/>
            <w:webHidden/>
          </w:rPr>
        </w:r>
        <w:r w:rsidR="00C17533">
          <w:rPr>
            <w:noProof/>
            <w:webHidden/>
          </w:rPr>
          <w:fldChar w:fldCharType="separate"/>
        </w:r>
        <w:r w:rsidR="00B455C4">
          <w:rPr>
            <w:noProof/>
            <w:webHidden/>
          </w:rPr>
          <w:t>39</w:t>
        </w:r>
        <w:r w:rsidR="00C17533">
          <w:rPr>
            <w:noProof/>
            <w:webHidden/>
          </w:rPr>
          <w:fldChar w:fldCharType="end"/>
        </w:r>
      </w:hyperlink>
    </w:p>
    <w:p w:rsidR="00C17533" w:rsidRDefault="006B6AC1">
      <w:pPr>
        <w:pStyle w:val="TJ2"/>
        <w:tabs>
          <w:tab w:val="left" w:pos="640"/>
          <w:tab w:val="right" w:leader="dot" w:pos="9061"/>
        </w:tabs>
        <w:rPr>
          <w:rFonts w:asciiTheme="minorHAnsi" w:eastAsiaTheme="minorEastAsia" w:hAnsiTheme="minorHAnsi" w:cstheme="minorBidi"/>
          <w:smallCaps w:val="0"/>
          <w:noProof/>
          <w:sz w:val="22"/>
          <w:szCs w:val="22"/>
        </w:rPr>
      </w:pPr>
      <w:hyperlink w:anchor="_Toc349832366" w:history="1">
        <w:r w:rsidR="00C17533" w:rsidRPr="00590B3C">
          <w:rPr>
            <w:rStyle w:val="Hiperhivatkozs"/>
            <w:noProof/>
          </w:rPr>
          <w:t>48.</w:t>
        </w:r>
        <w:r w:rsidR="00C17533">
          <w:rPr>
            <w:rFonts w:asciiTheme="minorHAnsi" w:eastAsiaTheme="minorEastAsia" w:hAnsiTheme="minorHAnsi" w:cstheme="minorBidi"/>
            <w:smallCaps w:val="0"/>
            <w:noProof/>
            <w:sz w:val="22"/>
            <w:szCs w:val="22"/>
          </w:rPr>
          <w:tab/>
        </w:r>
        <w:r w:rsidR="00C17533" w:rsidRPr="00590B3C">
          <w:rPr>
            <w:rStyle w:val="Hiperhivatkozs"/>
            <w:noProof/>
          </w:rPr>
          <w:t>Befektetési alap múltbeli teljesítménye:</w:t>
        </w:r>
        <w:r w:rsidR="00C17533">
          <w:rPr>
            <w:noProof/>
            <w:webHidden/>
          </w:rPr>
          <w:tab/>
        </w:r>
        <w:r w:rsidR="00C17533">
          <w:rPr>
            <w:noProof/>
            <w:webHidden/>
          </w:rPr>
          <w:fldChar w:fldCharType="begin"/>
        </w:r>
        <w:r w:rsidR="00C17533">
          <w:rPr>
            <w:noProof/>
            <w:webHidden/>
          </w:rPr>
          <w:instrText xml:space="preserve"> PAGEREF _Toc349832366 \h </w:instrText>
        </w:r>
        <w:r w:rsidR="00C17533">
          <w:rPr>
            <w:noProof/>
            <w:webHidden/>
          </w:rPr>
        </w:r>
        <w:r w:rsidR="00C17533">
          <w:rPr>
            <w:noProof/>
            <w:webHidden/>
          </w:rPr>
          <w:fldChar w:fldCharType="separate"/>
        </w:r>
        <w:r w:rsidR="00B455C4">
          <w:rPr>
            <w:noProof/>
            <w:webHidden/>
          </w:rPr>
          <w:t>39</w:t>
        </w:r>
        <w:r w:rsidR="00C17533">
          <w:rPr>
            <w:noProof/>
            <w:webHidden/>
          </w:rPr>
          <w:fldChar w:fldCharType="end"/>
        </w:r>
      </w:hyperlink>
    </w:p>
    <w:p w:rsidR="00C17533" w:rsidRDefault="006B6AC1">
      <w:pPr>
        <w:pStyle w:val="TJ2"/>
        <w:tabs>
          <w:tab w:val="left" w:pos="640"/>
          <w:tab w:val="right" w:leader="dot" w:pos="9061"/>
        </w:tabs>
        <w:rPr>
          <w:rFonts w:asciiTheme="minorHAnsi" w:eastAsiaTheme="minorEastAsia" w:hAnsiTheme="minorHAnsi" w:cstheme="minorBidi"/>
          <w:smallCaps w:val="0"/>
          <w:noProof/>
          <w:sz w:val="22"/>
          <w:szCs w:val="22"/>
        </w:rPr>
      </w:pPr>
      <w:hyperlink w:anchor="_Toc349832367" w:history="1">
        <w:r w:rsidR="00C17533" w:rsidRPr="00590B3C">
          <w:rPr>
            <w:rStyle w:val="Hiperhivatkozs"/>
            <w:noProof/>
          </w:rPr>
          <w:t>49.</w:t>
        </w:r>
        <w:r w:rsidR="00C17533">
          <w:rPr>
            <w:rFonts w:asciiTheme="minorHAnsi" w:eastAsiaTheme="minorEastAsia" w:hAnsiTheme="minorHAnsi" w:cstheme="minorBidi"/>
            <w:smallCaps w:val="0"/>
            <w:noProof/>
            <w:sz w:val="22"/>
            <w:szCs w:val="22"/>
          </w:rPr>
          <w:tab/>
        </w:r>
        <w:r w:rsidR="00C17533" w:rsidRPr="00590B3C">
          <w:rPr>
            <w:rStyle w:val="Hiperhivatkozs"/>
            <w:noProof/>
          </w:rPr>
          <w:t>Amennyiben az adott alap esetében mód van a befektetési jegyek bevonására, ennek feltételei:</w:t>
        </w:r>
        <w:r w:rsidR="00C17533">
          <w:rPr>
            <w:noProof/>
            <w:webHidden/>
          </w:rPr>
          <w:tab/>
        </w:r>
        <w:r w:rsidR="00C17533">
          <w:rPr>
            <w:noProof/>
            <w:webHidden/>
          </w:rPr>
          <w:fldChar w:fldCharType="begin"/>
        </w:r>
        <w:r w:rsidR="00C17533">
          <w:rPr>
            <w:noProof/>
            <w:webHidden/>
          </w:rPr>
          <w:instrText xml:space="preserve"> PAGEREF _Toc349832367 \h </w:instrText>
        </w:r>
        <w:r w:rsidR="00C17533">
          <w:rPr>
            <w:noProof/>
            <w:webHidden/>
          </w:rPr>
        </w:r>
        <w:r w:rsidR="00C17533">
          <w:rPr>
            <w:noProof/>
            <w:webHidden/>
          </w:rPr>
          <w:fldChar w:fldCharType="separate"/>
        </w:r>
        <w:r w:rsidR="00B455C4">
          <w:rPr>
            <w:noProof/>
            <w:webHidden/>
          </w:rPr>
          <w:t>39</w:t>
        </w:r>
        <w:r w:rsidR="00C17533">
          <w:rPr>
            <w:noProof/>
            <w:webHidden/>
          </w:rPr>
          <w:fldChar w:fldCharType="end"/>
        </w:r>
      </w:hyperlink>
    </w:p>
    <w:p w:rsidR="00C17533" w:rsidRDefault="006B6AC1">
      <w:pPr>
        <w:pStyle w:val="TJ2"/>
        <w:tabs>
          <w:tab w:val="left" w:pos="640"/>
          <w:tab w:val="right" w:leader="dot" w:pos="9061"/>
        </w:tabs>
        <w:rPr>
          <w:rFonts w:asciiTheme="minorHAnsi" w:eastAsiaTheme="minorEastAsia" w:hAnsiTheme="minorHAnsi" w:cstheme="minorBidi"/>
          <w:smallCaps w:val="0"/>
          <w:noProof/>
          <w:sz w:val="22"/>
          <w:szCs w:val="22"/>
        </w:rPr>
      </w:pPr>
      <w:hyperlink w:anchor="_Toc349832368" w:history="1">
        <w:r w:rsidR="00C17533" w:rsidRPr="00590B3C">
          <w:rPr>
            <w:rStyle w:val="Hiperhivatkozs"/>
            <w:noProof/>
          </w:rPr>
          <w:t>50.</w:t>
        </w:r>
        <w:r w:rsidR="00C17533">
          <w:rPr>
            <w:rFonts w:asciiTheme="minorHAnsi" w:eastAsiaTheme="minorEastAsia" w:hAnsiTheme="minorHAnsi" w:cstheme="minorBidi"/>
            <w:smallCaps w:val="0"/>
            <w:noProof/>
            <w:sz w:val="22"/>
            <w:szCs w:val="22"/>
          </w:rPr>
          <w:tab/>
        </w:r>
        <w:r w:rsidR="00C17533" w:rsidRPr="00590B3C">
          <w:rPr>
            <w:rStyle w:val="Hiperhivatkozs"/>
            <w:noProof/>
          </w:rPr>
          <w:t>A befektetési alap megszűnését kiváltó körülmények, a megszűnés hatása a befektetők jogaira:</w:t>
        </w:r>
        <w:r w:rsidR="00C17533">
          <w:rPr>
            <w:noProof/>
            <w:webHidden/>
          </w:rPr>
          <w:tab/>
        </w:r>
        <w:r w:rsidR="00C17533">
          <w:rPr>
            <w:noProof/>
            <w:webHidden/>
          </w:rPr>
          <w:fldChar w:fldCharType="begin"/>
        </w:r>
        <w:r w:rsidR="00C17533">
          <w:rPr>
            <w:noProof/>
            <w:webHidden/>
          </w:rPr>
          <w:instrText xml:space="preserve"> PAGEREF _Toc349832368 \h </w:instrText>
        </w:r>
        <w:r w:rsidR="00C17533">
          <w:rPr>
            <w:noProof/>
            <w:webHidden/>
          </w:rPr>
        </w:r>
        <w:r w:rsidR="00C17533">
          <w:rPr>
            <w:noProof/>
            <w:webHidden/>
          </w:rPr>
          <w:fldChar w:fldCharType="separate"/>
        </w:r>
        <w:r w:rsidR="00B455C4">
          <w:rPr>
            <w:noProof/>
            <w:webHidden/>
          </w:rPr>
          <w:t>39</w:t>
        </w:r>
        <w:r w:rsidR="00C17533">
          <w:rPr>
            <w:noProof/>
            <w:webHidden/>
          </w:rPr>
          <w:fldChar w:fldCharType="end"/>
        </w:r>
      </w:hyperlink>
    </w:p>
    <w:p w:rsidR="00C17533" w:rsidRDefault="006B6AC1">
      <w:pPr>
        <w:pStyle w:val="TJ2"/>
        <w:tabs>
          <w:tab w:val="left" w:pos="640"/>
          <w:tab w:val="right" w:leader="dot" w:pos="9061"/>
        </w:tabs>
        <w:rPr>
          <w:rFonts w:asciiTheme="minorHAnsi" w:eastAsiaTheme="minorEastAsia" w:hAnsiTheme="minorHAnsi" w:cstheme="minorBidi"/>
          <w:smallCaps w:val="0"/>
          <w:noProof/>
          <w:sz w:val="22"/>
          <w:szCs w:val="22"/>
        </w:rPr>
      </w:pPr>
      <w:hyperlink w:anchor="_Toc349832369" w:history="1">
        <w:r w:rsidR="00C17533" w:rsidRPr="00590B3C">
          <w:rPr>
            <w:rStyle w:val="Hiperhivatkozs"/>
            <w:noProof/>
          </w:rPr>
          <w:t>51.</w:t>
        </w:r>
        <w:r w:rsidR="00C17533">
          <w:rPr>
            <w:rFonts w:asciiTheme="minorHAnsi" w:eastAsiaTheme="minorEastAsia" w:hAnsiTheme="minorHAnsi" w:cstheme="minorBidi"/>
            <w:smallCaps w:val="0"/>
            <w:noProof/>
            <w:sz w:val="22"/>
            <w:szCs w:val="22"/>
          </w:rPr>
          <w:tab/>
        </w:r>
        <w:r w:rsidR="00C17533" w:rsidRPr="00590B3C">
          <w:rPr>
            <w:rStyle w:val="Hiperhivatkozs"/>
            <w:noProof/>
          </w:rPr>
          <w:t>Minden olyan további információ, amely alapján a befektetők kellő tájékozottsággal tudnak határozni a felkínált befektetési lehetőségről:</w:t>
        </w:r>
        <w:r w:rsidR="00C17533">
          <w:rPr>
            <w:noProof/>
            <w:webHidden/>
          </w:rPr>
          <w:tab/>
        </w:r>
        <w:r w:rsidR="00C17533">
          <w:rPr>
            <w:noProof/>
            <w:webHidden/>
          </w:rPr>
          <w:fldChar w:fldCharType="begin"/>
        </w:r>
        <w:r w:rsidR="00C17533">
          <w:rPr>
            <w:noProof/>
            <w:webHidden/>
          </w:rPr>
          <w:instrText xml:space="preserve"> PAGEREF _Toc349832369 \h </w:instrText>
        </w:r>
        <w:r w:rsidR="00C17533">
          <w:rPr>
            <w:noProof/>
            <w:webHidden/>
          </w:rPr>
        </w:r>
        <w:r w:rsidR="00C17533">
          <w:rPr>
            <w:noProof/>
            <w:webHidden/>
          </w:rPr>
          <w:fldChar w:fldCharType="separate"/>
        </w:r>
        <w:r w:rsidR="00B455C4">
          <w:rPr>
            <w:noProof/>
            <w:webHidden/>
          </w:rPr>
          <w:t>40</w:t>
        </w:r>
        <w:r w:rsidR="00C17533">
          <w:rPr>
            <w:noProof/>
            <w:webHidden/>
          </w:rPr>
          <w:fldChar w:fldCharType="end"/>
        </w:r>
      </w:hyperlink>
    </w:p>
    <w:p w:rsidR="00C17533" w:rsidRDefault="006B6AC1">
      <w:pPr>
        <w:pStyle w:val="TJ1"/>
        <w:tabs>
          <w:tab w:val="left" w:pos="640"/>
          <w:tab w:val="right" w:leader="dot" w:pos="9061"/>
        </w:tabs>
        <w:rPr>
          <w:rFonts w:asciiTheme="minorHAnsi" w:eastAsiaTheme="minorEastAsia" w:hAnsiTheme="minorHAnsi" w:cstheme="minorBidi"/>
          <w:b w:val="0"/>
          <w:bCs w:val="0"/>
          <w:caps w:val="0"/>
          <w:noProof/>
          <w:sz w:val="22"/>
          <w:szCs w:val="22"/>
        </w:rPr>
      </w:pPr>
      <w:hyperlink w:anchor="_Toc349832370" w:history="1">
        <w:r w:rsidR="00C17533" w:rsidRPr="00590B3C">
          <w:rPr>
            <w:rStyle w:val="Hiperhivatkozs"/>
            <w:rFonts w:ascii="Verdana" w:hAnsi="Verdana"/>
            <w:noProof/>
          </w:rPr>
          <w:t>XI.</w:t>
        </w:r>
        <w:r w:rsidR="00C17533">
          <w:rPr>
            <w:rFonts w:asciiTheme="minorHAnsi" w:eastAsiaTheme="minorEastAsia" w:hAnsiTheme="minorHAnsi" w:cstheme="minorBidi"/>
            <w:b w:val="0"/>
            <w:bCs w:val="0"/>
            <w:caps w:val="0"/>
            <w:noProof/>
            <w:sz w:val="22"/>
            <w:szCs w:val="22"/>
          </w:rPr>
          <w:tab/>
        </w:r>
        <w:r w:rsidR="00C17533" w:rsidRPr="00590B3C">
          <w:rPr>
            <w:rStyle w:val="Hiperhivatkozs"/>
            <w:rFonts w:ascii="Verdana" w:hAnsi="Verdana"/>
            <w:noProof/>
          </w:rPr>
          <w:t>Közreműködő szervezetekre vonatkozó alapinformációk</w:t>
        </w:r>
        <w:r w:rsidR="00C17533">
          <w:rPr>
            <w:noProof/>
            <w:webHidden/>
          </w:rPr>
          <w:tab/>
        </w:r>
        <w:r w:rsidR="00C17533">
          <w:rPr>
            <w:noProof/>
            <w:webHidden/>
          </w:rPr>
          <w:fldChar w:fldCharType="begin"/>
        </w:r>
        <w:r w:rsidR="00C17533">
          <w:rPr>
            <w:noProof/>
            <w:webHidden/>
          </w:rPr>
          <w:instrText xml:space="preserve"> PAGEREF _Toc349832370 \h </w:instrText>
        </w:r>
        <w:r w:rsidR="00C17533">
          <w:rPr>
            <w:noProof/>
            <w:webHidden/>
          </w:rPr>
        </w:r>
        <w:r w:rsidR="00C17533">
          <w:rPr>
            <w:noProof/>
            <w:webHidden/>
          </w:rPr>
          <w:fldChar w:fldCharType="separate"/>
        </w:r>
        <w:r w:rsidR="00B455C4">
          <w:rPr>
            <w:noProof/>
            <w:webHidden/>
          </w:rPr>
          <w:t>41</w:t>
        </w:r>
        <w:r w:rsidR="00C17533">
          <w:rPr>
            <w:noProof/>
            <w:webHidden/>
          </w:rPr>
          <w:fldChar w:fldCharType="end"/>
        </w:r>
      </w:hyperlink>
    </w:p>
    <w:p w:rsidR="00C17533" w:rsidRDefault="006B6AC1">
      <w:pPr>
        <w:pStyle w:val="TJ2"/>
        <w:tabs>
          <w:tab w:val="left" w:pos="640"/>
          <w:tab w:val="right" w:leader="dot" w:pos="9061"/>
        </w:tabs>
        <w:rPr>
          <w:rFonts w:asciiTheme="minorHAnsi" w:eastAsiaTheme="minorEastAsia" w:hAnsiTheme="minorHAnsi" w:cstheme="minorBidi"/>
          <w:smallCaps w:val="0"/>
          <w:noProof/>
          <w:sz w:val="22"/>
          <w:szCs w:val="22"/>
        </w:rPr>
      </w:pPr>
      <w:hyperlink w:anchor="_Toc349832371" w:history="1">
        <w:r w:rsidR="00C17533" w:rsidRPr="00590B3C">
          <w:rPr>
            <w:rStyle w:val="Hiperhivatkozs"/>
            <w:noProof/>
          </w:rPr>
          <w:t>52.</w:t>
        </w:r>
        <w:r w:rsidR="00C17533">
          <w:rPr>
            <w:rFonts w:asciiTheme="minorHAnsi" w:eastAsiaTheme="minorEastAsia" w:hAnsiTheme="minorHAnsi" w:cstheme="minorBidi"/>
            <w:smallCaps w:val="0"/>
            <w:noProof/>
            <w:sz w:val="22"/>
            <w:szCs w:val="22"/>
          </w:rPr>
          <w:tab/>
        </w:r>
        <w:r w:rsidR="00C17533" w:rsidRPr="00590B3C">
          <w:rPr>
            <w:rStyle w:val="Hiperhivatkozs"/>
            <w:noProof/>
          </w:rPr>
          <w:t>A befektetési alapkezelőre vonatkozó alapinformációk (cégnév, cégforma, cégjegyzékszám):</w:t>
        </w:r>
        <w:r w:rsidR="00C17533">
          <w:rPr>
            <w:noProof/>
            <w:webHidden/>
          </w:rPr>
          <w:tab/>
        </w:r>
        <w:r w:rsidR="00C17533">
          <w:rPr>
            <w:noProof/>
            <w:webHidden/>
          </w:rPr>
          <w:fldChar w:fldCharType="begin"/>
        </w:r>
        <w:r w:rsidR="00C17533">
          <w:rPr>
            <w:noProof/>
            <w:webHidden/>
          </w:rPr>
          <w:instrText xml:space="preserve"> PAGEREF _Toc349832371 \h </w:instrText>
        </w:r>
        <w:r w:rsidR="00C17533">
          <w:rPr>
            <w:noProof/>
            <w:webHidden/>
          </w:rPr>
        </w:r>
        <w:r w:rsidR="00C17533">
          <w:rPr>
            <w:noProof/>
            <w:webHidden/>
          </w:rPr>
          <w:fldChar w:fldCharType="separate"/>
        </w:r>
        <w:r w:rsidR="00B455C4">
          <w:rPr>
            <w:noProof/>
            <w:webHidden/>
          </w:rPr>
          <w:t>41</w:t>
        </w:r>
        <w:r w:rsidR="00C17533">
          <w:rPr>
            <w:noProof/>
            <w:webHidden/>
          </w:rPr>
          <w:fldChar w:fldCharType="end"/>
        </w:r>
      </w:hyperlink>
    </w:p>
    <w:p w:rsidR="00C17533" w:rsidRDefault="006B6AC1">
      <w:pPr>
        <w:pStyle w:val="TJ2"/>
        <w:tabs>
          <w:tab w:val="left" w:pos="640"/>
          <w:tab w:val="right" w:leader="dot" w:pos="9061"/>
        </w:tabs>
        <w:rPr>
          <w:rFonts w:asciiTheme="minorHAnsi" w:eastAsiaTheme="minorEastAsia" w:hAnsiTheme="minorHAnsi" w:cstheme="minorBidi"/>
          <w:smallCaps w:val="0"/>
          <w:noProof/>
          <w:sz w:val="22"/>
          <w:szCs w:val="22"/>
        </w:rPr>
      </w:pPr>
      <w:hyperlink w:anchor="_Toc349832372" w:history="1">
        <w:r w:rsidR="00C17533" w:rsidRPr="00590B3C">
          <w:rPr>
            <w:rStyle w:val="Hiperhivatkozs"/>
            <w:noProof/>
          </w:rPr>
          <w:t>53.</w:t>
        </w:r>
        <w:r w:rsidR="00C17533">
          <w:rPr>
            <w:rFonts w:asciiTheme="minorHAnsi" w:eastAsiaTheme="minorEastAsia" w:hAnsiTheme="minorHAnsi" w:cstheme="minorBidi"/>
            <w:smallCaps w:val="0"/>
            <w:noProof/>
            <w:sz w:val="22"/>
            <w:szCs w:val="22"/>
          </w:rPr>
          <w:tab/>
        </w:r>
        <w:r w:rsidR="00C17533" w:rsidRPr="00590B3C">
          <w:rPr>
            <w:rStyle w:val="Hiperhivatkozs"/>
            <w:noProof/>
          </w:rPr>
          <w:t>A letétkezelőre vonatkozó alapinformációk (cégnév, cégforma, cégjegyzékszám):</w:t>
        </w:r>
        <w:r w:rsidR="00C17533">
          <w:rPr>
            <w:noProof/>
            <w:webHidden/>
          </w:rPr>
          <w:tab/>
        </w:r>
        <w:r w:rsidR="00C17533">
          <w:rPr>
            <w:noProof/>
            <w:webHidden/>
          </w:rPr>
          <w:fldChar w:fldCharType="begin"/>
        </w:r>
        <w:r w:rsidR="00C17533">
          <w:rPr>
            <w:noProof/>
            <w:webHidden/>
          </w:rPr>
          <w:instrText xml:space="preserve"> PAGEREF _Toc349832372 \h </w:instrText>
        </w:r>
        <w:r w:rsidR="00C17533">
          <w:rPr>
            <w:noProof/>
            <w:webHidden/>
          </w:rPr>
        </w:r>
        <w:r w:rsidR="00C17533">
          <w:rPr>
            <w:noProof/>
            <w:webHidden/>
          </w:rPr>
          <w:fldChar w:fldCharType="separate"/>
        </w:r>
        <w:r w:rsidR="00B455C4">
          <w:rPr>
            <w:noProof/>
            <w:webHidden/>
          </w:rPr>
          <w:t>41</w:t>
        </w:r>
        <w:r w:rsidR="00C17533">
          <w:rPr>
            <w:noProof/>
            <w:webHidden/>
          </w:rPr>
          <w:fldChar w:fldCharType="end"/>
        </w:r>
      </w:hyperlink>
    </w:p>
    <w:p w:rsidR="00C17533" w:rsidRDefault="006B6AC1">
      <w:pPr>
        <w:pStyle w:val="TJ2"/>
        <w:tabs>
          <w:tab w:val="left" w:pos="640"/>
          <w:tab w:val="right" w:leader="dot" w:pos="9061"/>
        </w:tabs>
        <w:rPr>
          <w:rFonts w:asciiTheme="minorHAnsi" w:eastAsiaTheme="minorEastAsia" w:hAnsiTheme="minorHAnsi" w:cstheme="minorBidi"/>
          <w:smallCaps w:val="0"/>
          <w:noProof/>
          <w:sz w:val="22"/>
          <w:szCs w:val="22"/>
        </w:rPr>
      </w:pPr>
      <w:hyperlink w:anchor="_Toc349832373" w:history="1">
        <w:r w:rsidR="00C17533" w:rsidRPr="00590B3C">
          <w:rPr>
            <w:rStyle w:val="Hiperhivatkozs"/>
            <w:noProof/>
          </w:rPr>
          <w:t>54.</w:t>
        </w:r>
        <w:r w:rsidR="00C17533">
          <w:rPr>
            <w:rFonts w:asciiTheme="minorHAnsi" w:eastAsiaTheme="minorEastAsia" w:hAnsiTheme="minorHAnsi" w:cstheme="minorBidi"/>
            <w:smallCaps w:val="0"/>
            <w:noProof/>
            <w:sz w:val="22"/>
            <w:szCs w:val="22"/>
          </w:rPr>
          <w:tab/>
        </w:r>
        <w:r w:rsidR="00C17533" w:rsidRPr="00590B3C">
          <w:rPr>
            <w:rStyle w:val="Hiperhivatkozs"/>
            <w:noProof/>
          </w:rPr>
          <w:t>A könyvvizsgálóra vonatkozó alapinformációk (cégnév, cégforma, cégjegyzékszám)</w:t>
        </w:r>
        <w:r w:rsidR="00C17533">
          <w:rPr>
            <w:noProof/>
            <w:webHidden/>
          </w:rPr>
          <w:tab/>
        </w:r>
        <w:r w:rsidR="00C17533">
          <w:rPr>
            <w:noProof/>
            <w:webHidden/>
          </w:rPr>
          <w:fldChar w:fldCharType="begin"/>
        </w:r>
        <w:r w:rsidR="00C17533">
          <w:rPr>
            <w:noProof/>
            <w:webHidden/>
          </w:rPr>
          <w:instrText xml:space="preserve"> PAGEREF _Toc349832373 \h </w:instrText>
        </w:r>
        <w:r w:rsidR="00C17533">
          <w:rPr>
            <w:noProof/>
            <w:webHidden/>
          </w:rPr>
        </w:r>
        <w:r w:rsidR="00C17533">
          <w:rPr>
            <w:noProof/>
            <w:webHidden/>
          </w:rPr>
          <w:fldChar w:fldCharType="separate"/>
        </w:r>
        <w:r w:rsidR="00B455C4">
          <w:rPr>
            <w:noProof/>
            <w:webHidden/>
          </w:rPr>
          <w:t>41</w:t>
        </w:r>
        <w:r w:rsidR="00C17533">
          <w:rPr>
            <w:noProof/>
            <w:webHidden/>
          </w:rPr>
          <w:fldChar w:fldCharType="end"/>
        </w:r>
      </w:hyperlink>
    </w:p>
    <w:p w:rsidR="00C17533" w:rsidRDefault="006B6AC1">
      <w:pPr>
        <w:pStyle w:val="TJ2"/>
        <w:tabs>
          <w:tab w:val="left" w:pos="640"/>
          <w:tab w:val="right" w:leader="dot" w:pos="9061"/>
        </w:tabs>
        <w:rPr>
          <w:rFonts w:asciiTheme="minorHAnsi" w:eastAsiaTheme="minorEastAsia" w:hAnsiTheme="minorHAnsi" w:cstheme="minorBidi"/>
          <w:smallCaps w:val="0"/>
          <w:noProof/>
          <w:sz w:val="22"/>
          <w:szCs w:val="22"/>
        </w:rPr>
      </w:pPr>
      <w:hyperlink w:anchor="_Toc349832374" w:history="1">
        <w:r w:rsidR="00C17533" w:rsidRPr="00590B3C">
          <w:rPr>
            <w:rStyle w:val="Hiperhivatkozs"/>
            <w:noProof/>
          </w:rPr>
          <w:t>55.</w:t>
        </w:r>
        <w:r w:rsidR="00C17533">
          <w:rPr>
            <w:rFonts w:asciiTheme="minorHAnsi" w:eastAsiaTheme="minorEastAsia" w:hAnsiTheme="minorHAnsi" w:cstheme="minorBidi"/>
            <w:smallCaps w:val="0"/>
            <w:noProof/>
            <w:sz w:val="22"/>
            <w:szCs w:val="22"/>
          </w:rPr>
          <w:tab/>
        </w:r>
        <w:r w:rsidR="00C17533" w:rsidRPr="00590B3C">
          <w:rPr>
            <w:rStyle w:val="Hiperhivatkozs"/>
            <w:noProof/>
          </w:rPr>
          <w:t>Az olyan tanácsadóra vonatkozó alapinformációk (cégnév, cégforma, cégjegyzékszám), amelynek díjazása a befektetési alap eszközeiből történik:</w:t>
        </w:r>
        <w:r w:rsidR="00C17533">
          <w:rPr>
            <w:noProof/>
            <w:webHidden/>
          </w:rPr>
          <w:tab/>
        </w:r>
        <w:r w:rsidR="00C17533">
          <w:rPr>
            <w:noProof/>
            <w:webHidden/>
          </w:rPr>
          <w:fldChar w:fldCharType="begin"/>
        </w:r>
        <w:r w:rsidR="00C17533">
          <w:rPr>
            <w:noProof/>
            <w:webHidden/>
          </w:rPr>
          <w:instrText xml:space="preserve"> PAGEREF _Toc349832374 \h </w:instrText>
        </w:r>
        <w:r w:rsidR="00C17533">
          <w:rPr>
            <w:noProof/>
            <w:webHidden/>
          </w:rPr>
        </w:r>
        <w:r w:rsidR="00C17533">
          <w:rPr>
            <w:noProof/>
            <w:webHidden/>
          </w:rPr>
          <w:fldChar w:fldCharType="separate"/>
        </w:r>
        <w:r w:rsidR="00B455C4">
          <w:rPr>
            <w:noProof/>
            <w:webHidden/>
          </w:rPr>
          <w:t>41</w:t>
        </w:r>
        <w:r w:rsidR="00C17533">
          <w:rPr>
            <w:noProof/>
            <w:webHidden/>
          </w:rPr>
          <w:fldChar w:fldCharType="end"/>
        </w:r>
      </w:hyperlink>
    </w:p>
    <w:p w:rsidR="00C17533" w:rsidRDefault="006B6AC1">
      <w:pPr>
        <w:pStyle w:val="TJ2"/>
        <w:tabs>
          <w:tab w:val="left" w:pos="640"/>
          <w:tab w:val="right" w:leader="dot" w:pos="9061"/>
        </w:tabs>
        <w:rPr>
          <w:rFonts w:asciiTheme="minorHAnsi" w:eastAsiaTheme="minorEastAsia" w:hAnsiTheme="minorHAnsi" w:cstheme="minorBidi"/>
          <w:smallCaps w:val="0"/>
          <w:noProof/>
          <w:sz w:val="22"/>
          <w:szCs w:val="22"/>
        </w:rPr>
      </w:pPr>
      <w:hyperlink w:anchor="_Toc349832375" w:history="1">
        <w:r w:rsidR="00C17533" w:rsidRPr="00590B3C">
          <w:rPr>
            <w:rStyle w:val="Hiperhivatkozs"/>
            <w:noProof/>
          </w:rPr>
          <w:t>56.</w:t>
        </w:r>
        <w:r w:rsidR="00C17533">
          <w:rPr>
            <w:rFonts w:asciiTheme="minorHAnsi" w:eastAsiaTheme="minorEastAsia" w:hAnsiTheme="minorHAnsi" w:cstheme="minorBidi"/>
            <w:smallCaps w:val="0"/>
            <w:noProof/>
            <w:sz w:val="22"/>
            <w:szCs w:val="22"/>
          </w:rPr>
          <w:tab/>
        </w:r>
        <w:r w:rsidR="00C17533" w:rsidRPr="00590B3C">
          <w:rPr>
            <w:rStyle w:val="Hiperhivatkozs"/>
            <w:noProof/>
          </w:rPr>
          <w:t>A forgalmazóra vonatkozó alapinformációk (cégnév, cégforma, cégjegyzékszám):</w:t>
        </w:r>
        <w:r w:rsidR="00C17533">
          <w:rPr>
            <w:noProof/>
            <w:webHidden/>
          </w:rPr>
          <w:tab/>
        </w:r>
        <w:r w:rsidR="00C17533">
          <w:rPr>
            <w:noProof/>
            <w:webHidden/>
          </w:rPr>
          <w:fldChar w:fldCharType="begin"/>
        </w:r>
        <w:r w:rsidR="00C17533">
          <w:rPr>
            <w:noProof/>
            <w:webHidden/>
          </w:rPr>
          <w:instrText xml:space="preserve"> PAGEREF _Toc349832375 \h </w:instrText>
        </w:r>
        <w:r w:rsidR="00C17533">
          <w:rPr>
            <w:noProof/>
            <w:webHidden/>
          </w:rPr>
        </w:r>
        <w:r w:rsidR="00C17533">
          <w:rPr>
            <w:noProof/>
            <w:webHidden/>
          </w:rPr>
          <w:fldChar w:fldCharType="separate"/>
        </w:r>
        <w:r w:rsidR="00B455C4">
          <w:rPr>
            <w:noProof/>
            <w:webHidden/>
          </w:rPr>
          <w:t>41</w:t>
        </w:r>
        <w:r w:rsidR="00C17533">
          <w:rPr>
            <w:noProof/>
            <w:webHidden/>
          </w:rPr>
          <w:fldChar w:fldCharType="end"/>
        </w:r>
      </w:hyperlink>
    </w:p>
    <w:p w:rsidR="00C17533" w:rsidRDefault="006B6AC1">
      <w:pPr>
        <w:pStyle w:val="TJ2"/>
        <w:tabs>
          <w:tab w:val="left" w:pos="640"/>
          <w:tab w:val="right" w:leader="dot" w:pos="9061"/>
        </w:tabs>
        <w:rPr>
          <w:rFonts w:asciiTheme="minorHAnsi" w:eastAsiaTheme="minorEastAsia" w:hAnsiTheme="minorHAnsi" w:cstheme="minorBidi"/>
          <w:smallCaps w:val="0"/>
          <w:noProof/>
          <w:sz w:val="22"/>
          <w:szCs w:val="22"/>
        </w:rPr>
      </w:pPr>
      <w:hyperlink w:anchor="_Toc349832376" w:history="1">
        <w:r w:rsidR="00C17533" w:rsidRPr="00590B3C">
          <w:rPr>
            <w:rStyle w:val="Hiperhivatkozs"/>
            <w:noProof/>
          </w:rPr>
          <w:t>57.</w:t>
        </w:r>
        <w:r w:rsidR="00C17533">
          <w:rPr>
            <w:rFonts w:asciiTheme="minorHAnsi" w:eastAsiaTheme="minorEastAsia" w:hAnsiTheme="minorHAnsi" w:cstheme="minorBidi"/>
            <w:smallCaps w:val="0"/>
            <w:noProof/>
            <w:sz w:val="22"/>
            <w:szCs w:val="22"/>
          </w:rPr>
          <w:tab/>
        </w:r>
        <w:r w:rsidR="00C17533" w:rsidRPr="00590B3C">
          <w:rPr>
            <w:rStyle w:val="Hiperhivatkozs"/>
            <w:noProof/>
          </w:rPr>
          <w:t>Az ingatlanértékelőre vonatkozó alapinformációk (cégnév, cégforma, cégjegyzékszám):</w:t>
        </w:r>
        <w:r w:rsidR="00C17533">
          <w:rPr>
            <w:noProof/>
            <w:webHidden/>
          </w:rPr>
          <w:tab/>
        </w:r>
        <w:r w:rsidR="00C17533">
          <w:rPr>
            <w:noProof/>
            <w:webHidden/>
          </w:rPr>
          <w:fldChar w:fldCharType="begin"/>
        </w:r>
        <w:r w:rsidR="00C17533">
          <w:rPr>
            <w:noProof/>
            <w:webHidden/>
          </w:rPr>
          <w:instrText xml:space="preserve"> PAGEREF _Toc349832376 \h </w:instrText>
        </w:r>
        <w:r w:rsidR="00C17533">
          <w:rPr>
            <w:noProof/>
            <w:webHidden/>
          </w:rPr>
        </w:r>
        <w:r w:rsidR="00C17533">
          <w:rPr>
            <w:noProof/>
            <w:webHidden/>
          </w:rPr>
          <w:fldChar w:fldCharType="separate"/>
        </w:r>
        <w:r w:rsidR="00B455C4">
          <w:rPr>
            <w:noProof/>
            <w:webHidden/>
          </w:rPr>
          <w:t>41</w:t>
        </w:r>
        <w:r w:rsidR="00C17533">
          <w:rPr>
            <w:noProof/>
            <w:webHidden/>
          </w:rPr>
          <w:fldChar w:fldCharType="end"/>
        </w:r>
      </w:hyperlink>
    </w:p>
    <w:p w:rsidR="009F1C94" w:rsidRDefault="009F1C94">
      <w:r>
        <w:fldChar w:fldCharType="end"/>
      </w:r>
    </w:p>
    <w:p w:rsidR="009F1C94" w:rsidRDefault="009F1C94">
      <w:pPr>
        <w:keepLines w:val="0"/>
        <w:spacing w:after="0"/>
        <w:jc w:val="left"/>
      </w:pPr>
      <w:r>
        <w:br w:type="page"/>
      </w:r>
    </w:p>
    <w:p w:rsidR="009F1C94" w:rsidRPr="001F1155" w:rsidRDefault="009F1C94" w:rsidP="001F1155">
      <w:pPr>
        <w:pStyle w:val="Cmsor1"/>
        <w:ind w:left="720"/>
        <w:rPr>
          <w:rFonts w:ascii="Verdana" w:hAnsi="Verdana"/>
          <w:szCs w:val="16"/>
        </w:rPr>
      </w:pPr>
      <w:bookmarkStart w:id="7" w:name="_Toc8192621"/>
      <w:bookmarkStart w:id="8" w:name="_Toc11759999"/>
      <w:bookmarkStart w:id="9" w:name="_Toc11760137"/>
      <w:bookmarkStart w:id="10" w:name="_Toc112047688"/>
      <w:bookmarkStart w:id="11" w:name="_Toc308792040"/>
      <w:bookmarkStart w:id="12" w:name="_Toc322700779"/>
      <w:bookmarkStart w:id="13" w:name="_Toc349832267"/>
      <w:r w:rsidRPr="001F1155">
        <w:rPr>
          <w:rFonts w:ascii="Verdana" w:hAnsi="Verdana"/>
          <w:szCs w:val="16"/>
        </w:rPr>
        <w:lastRenderedPageBreak/>
        <w:t>Definíciók</w:t>
      </w:r>
      <w:bookmarkEnd w:id="7"/>
      <w:bookmarkEnd w:id="8"/>
      <w:bookmarkEnd w:id="9"/>
      <w:bookmarkEnd w:id="10"/>
      <w:bookmarkEnd w:id="11"/>
      <w:bookmarkEnd w:id="12"/>
      <w:bookmarkEnd w:id="13"/>
    </w:p>
    <w:p w:rsidR="009F1C94" w:rsidRPr="00D77120" w:rsidRDefault="009F1C94" w:rsidP="00C302F6">
      <w:r w:rsidRPr="00D77120">
        <w:rPr>
          <w:b/>
        </w:rPr>
        <w:t>ÁÉKBV-irányelv</w:t>
      </w:r>
      <w:r w:rsidRPr="00D77120">
        <w:t>: az Európai Parlament és a Tanács 2009. július 13-i 2009/65/EK irányelve az átruházható értékpapírokkal foglalkozó kollektív befektetési vállalkozásokra (ÁÉKBV) vonatkozó törvényi, rendeleti és közigazgatási rendelkezések összehangolásáról</w:t>
      </w:r>
    </w:p>
    <w:p w:rsidR="009F1C94" w:rsidRPr="00D77120" w:rsidRDefault="009F1C94" w:rsidP="00C302F6">
      <w:pPr>
        <w:rPr>
          <w:b/>
        </w:rPr>
      </w:pPr>
      <w:r w:rsidRPr="00D77120">
        <w:rPr>
          <w:b/>
        </w:rPr>
        <w:t xml:space="preserve">Alap: </w:t>
      </w:r>
      <w:r w:rsidRPr="00D77120">
        <w:t xml:space="preserve">a </w:t>
      </w:r>
      <w:r w:rsidR="00B356A1">
        <w:t xml:space="preserve">Concorde </w:t>
      </w:r>
      <w:r w:rsidR="004D050F">
        <w:t>Hold Euro</w:t>
      </w:r>
      <w:r w:rsidR="00B356A1">
        <w:t xml:space="preserve"> Alapok Alapja</w:t>
      </w:r>
    </w:p>
    <w:p w:rsidR="009F1C94" w:rsidRPr="00D77120" w:rsidRDefault="009F1C94" w:rsidP="00C302F6">
      <w:r w:rsidRPr="00D77120">
        <w:rPr>
          <w:b/>
        </w:rPr>
        <w:t>Alapok:</w:t>
      </w:r>
      <w:r w:rsidRPr="00D77120">
        <w:t xml:space="preserve"> a Concorde Alapkezelő zrt. által kezelt alapok</w:t>
      </w:r>
    </w:p>
    <w:p w:rsidR="009F1C94" w:rsidRPr="00D77120" w:rsidRDefault="009F1C94" w:rsidP="00C302F6">
      <w:r w:rsidRPr="00D77120">
        <w:rPr>
          <w:b/>
        </w:rPr>
        <w:t>Alapkezelő:</w:t>
      </w:r>
      <w:r w:rsidRPr="00D77120">
        <w:t xml:space="preserve"> a Concorde Alapkezelő zrt. (székhely: 1123 Budapest, Alkotás utca 50.) rövid nevén: Concorde Alapkezelő zrt.</w:t>
      </w:r>
    </w:p>
    <w:p w:rsidR="009F1C94" w:rsidRPr="00D77120" w:rsidRDefault="009F1C94" w:rsidP="00C302F6">
      <w:pPr>
        <w:rPr>
          <w:b/>
        </w:rPr>
      </w:pPr>
      <w:r w:rsidRPr="00D77120">
        <w:rPr>
          <w:b/>
        </w:rPr>
        <w:t xml:space="preserve">Államkötvény: </w:t>
      </w:r>
      <w:r w:rsidRPr="00D77120">
        <w:t>egy évnél hosszabb kibocsátáskori futamidejű állampapír</w:t>
      </w:r>
    </w:p>
    <w:p w:rsidR="009F1C94" w:rsidRPr="00D77120" w:rsidRDefault="009F1C94" w:rsidP="00C302F6">
      <w:r w:rsidRPr="00D77120">
        <w:rPr>
          <w:b/>
        </w:rPr>
        <w:t>Állampapír:</w:t>
      </w:r>
      <w:r w:rsidRPr="00D77120">
        <w:t xml:space="preserve"> a magyar vagy külföldi állam, az MNB, az Európai Központi Bank vagy az Európai Unió más tagállamának jegybankja által kibocsátott hitelviszonyt megtestesítő értékpapír (Tpt. 5. § (1) bekezdés 5. pont)</w:t>
      </w:r>
    </w:p>
    <w:p w:rsidR="009F1C94" w:rsidRPr="00D77120" w:rsidRDefault="009F1C94" w:rsidP="00C302F6">
      <w:r w:rsidRPr="00D77120">
        <w:rPr>
          <w:b/>
        </w:rPr>
        <w:t xml:space="preserve">Banki munkanap: </w:t>
      </w:r>
      <w:r w:rsidRPr="00D77120">
        <w:t>minden olyan munkanap, amely sem a Letétkezelő, sem a Forgalmazó szempontjából nem szünnap, illetve amely nem munkaszüneti nap az Alap portfóliójában az adott napon szereplő befektetési eszközök piacán</w:t>
      </w:r>
    </w:p>
    <w:p w:rsidR="009F1C94" w:rsidRPr="00D77120" w:rsidRDefault="009F1C94" w:rsidP="00C302F6">
      <w:r w:rsidRPr="00D77120">
        <w:rPr>
          <w:b/>
        </w:rPr>
        <w:t>Batv</w:t>
      </w:r>
      <w:proofErr w:type="gramStart"/>
      <w:r w:rsidRPr="00D77120">
        <w:rPr>
          <w:b/>
        </w:rPr>
        <w:t>.:</w:t>
      </w:r>
      <w:proofErr w:type="gramEnd"/>
      <w:r w:rsidRPr="00D77120">
        <w:t xml:space="preserve"> 2011. évi CXCIII. törvény a befektetési alapkezelőkről és a kollektív befektetési formákról</w:t>
      </w:r>
    </w:p>
    <w:p w:rsidR="009F1C94" w:rsidRPr="00D77120" w:rsidRDefault="009F1C94" w:rsidP="00C302F6">
      <w:r w:rsidRPr="00D77120">
        <w:rPr>
          <w:b/>
        </w:rPr>
        <w:t xml:space="preserve">Befektetési Alap: </w:t>
      </w:r>
      <w:r w:rsidRPr="00D77120">
        <w:t>Befektetési Jegyek nyilvános vagy zártkörű kibocsátásával létrehozott és működtetett, jogi személyiséggel rendelkező vagyontömeg, melyet a Befektetési Alapkezelő a befektetők általános megbízása alapján, azok érdekében kezel</w:t>
      </w:r>
    </w:p>
    <w:p w:rsidR="009F1C94" w:rsidRPr="00D77120" w:rsidRDefault="009F1C94" w:rsidP="00C302F6">
      <w:r w:rsidRPr="00D77120">
        <w:rPr>
          <w:b/>
        </w:rPr>
        <w:t xml:space="preserve">Befektetési Jegy: </w:t>
      </w:r>
      <w:r w:rsidRPr="00D77120">
        <w:t xml:space="preserve">a Batv.-ban meghatározott módon és alakszerűséggel a befektetési </w:t>
      </w:r>
      <w:proofErr w:type="gramStart"/>
      <w:r w:rsidRPr="00D77120">
        <w:t>alap</w:t>
      </w:r>
      <w:proofErr w:type="gramEnd"/>
      <w:r w:rsidRPr="00D77120">
        <w:t xml:space="preserve"> mint kibocsátó által sorozatban forgalomba hozott, a befektetési alappal szembeni, a befektetési alap kezelési szabályzatában meghatározott követelést és egyéb jogokat biztosító, átruházható értékpapír</w:t>
      </w:r>
    </w:p>
    <w:p w:rsidR="009F1C94" w:rsidRPr="00D77120" w:rsidRDefault="009F1C94" w:rsidP="00C302F6">
      <w:r w:rsidRPr="00D77120">
        <w:rPr>
          <w:b/>
        </w:rPr>
        <w:t xml:space="preserve">Befektető: </w:t>
      </w:r>
      <w:r w:rsidRPr="00D77120">
        <w:t>az a személy, aki a befektetési szolgáltatóval, befektetési alapkezelővel, árutőzsdei szolgáltatóval, vagy más befektetővel kötött szerződés alapján saját vagy más pénzét, egyéb vagyontárgyát részben vagy egészben a tőkepiac, illetve a tőzsde hatásaitól teszi függővé, kockáztatja</w:t>
      </w:r>
    </w:p>
    <w:p w:rsidR="009F1C94" w:rsidRPr="00D77120" w:rsidRDefault="009F1C94" w:rsidP="00C302F6">
      <w:r w:rsidRPr="00D77120">
        <w:rPr>
          <w:b/>
        </w:rPr>
        <w:t xml:space="preserve">BÉT: </w:t>
      </w:r>
      <w:r w:rsidRPr="00D77120">
        <w:t>Budapesti Értéktőzsde</w:t>
      </w:r>
    </w:p>
    <w:p w:rsidR="009F1C94" w:rsidRPr="00D77120" w:rsidRDefault="009F1C94" w:rsidP="00C302F6">
      <w:r w:rsidRPr="00D77120">
        <w:rPr>
          <w:b/>
          <w:spacing w:val="-6"/>
        </w:rPr>
        <w:t>Bszt</w:t>
      </w:r>
      <w:proofErr w:type="gramStart"/>
      <w:r w:rsidRPr="00D77120">
        <w:t>.:</w:t>
      </w:r>
      <w:proofErr w:type="gramEnd"/>
      <w:r w:rsidRPr="00D77120">
        <w:t xml:space="preserve"> a befektetési vállalkozásokról és az árutőzsdei szolgáltatókról, valamint az általuk végezhető tevékenységek szabályairól szóló 2007. évi CXXXVIII. törvény</w:t>
      </w:r>
    </w:p>
    <w:p w:rsidR="009F1C94" w:rsidRPr="00D77120" w:rsidRDefault="009F1C94" w:rsidP="00C302F6">
      <w:r w:rsidRPr="00D77120">
        <w:rPr>
          <w:b/>
          <w:spacing w:val="-6"/>
        </w:rPr>
        <w:t>Dematerializált értékpapír</w:t>
      </w:r>
      <w:r w:rsidRPr="00D77120">
        <w:rPr>
          <w:b/>
        </w:rPr>
        <w:t xml:space="preserve">: </w:t>
      </w:r>
      <w:r w:rsidRPr="00D77120">
        <w:t xml:space="preserve">a Tpt.-ben és külön jogszabályban meghatározott </w:t>
      </w:r>
      <w:proofErr w:type="gramStart"/>
      <w:r w:rsidRPr="00D77120">
        <w:t>módon</w:t>
      </w:r>
      <w:proofErr w:type="gramEnd"/>
      <w:r w:rsidRPr="00D77120">
        <w:rPr>
          <w:b/>
        </w:rPr>
        <w:t xml:space="preserve"> </w:t>
      </w:r>
      <w:r w:rsidRPr="00D77120">
        <w:t>elektronikus úton létrehozott rögzített, továbbított és nyilvántartott, az értékpapír tartalmi kellékeit azonosítható módon tartalmazó adatösszesség</w:t>
      </w:r>
    </w:p>
    <w:p w:rsidR="009F1C94" w:rsidRPr="00D77120" w:rsidRDefault="009F1C94" w:rsidP="00C302F6">
      <w:r w:rsidRPr="00D77120">
        <w:rPr>
          <w:b/>
        </w:rPr>
        <w:t xml:space="preserve">E-nap: </w:t>
      </w:r>
      <w:r w:rsidRPr="00D77120">
        <w:t xml:space="preserve">a legfrissebb nettó eszközérték meghatározása során a nettó eszközérték vonatkozási napja </w:t>
      </w:r>
    </w:p>
    <w:p w:rsidR="009F1C94" w:rsidRPr="00D77120" w:rsidRDefault="009F1C94" w:rsidP="00C302F6">
      <w:r w:rsidRPr="00D77120">
        <w:rPr>
          <w:b/>
        </w:rPr>
        <w:t xml:space="preserve">Felügyelet </w:t>
      </w:r>
      <w:r w:rsidRPr="00D77120">
        <w:rPr>
          <w:bCs/>
        </w:rPr>
        <w:t>vagy</w:t>
      </w:r>
      <w:r w:rsidRPr="00D77120">
        <w:rPr>
          <w:b/>
        </w:rPr>
        <w:t xml:space="preserve"> PSZÁF: </w:t>
      </w:r>
      <w:r w:rsidRPr="00D77120">
        <w:t>a Pénzügyi Szervezetek Állami Felügyelete</w:t>
      </w:r>
    </w:p>
    <w:p w:rsidR="009F1C94" w:rsidRPr="00D77120" w:rsidRDefault="009F1C94" w:rsidP="00C302F6">
      <w:r w:rsidRPr="00D77120">
        <w:rPr>
          <w:b/>
        </w:rPr>
        <w:t xml:space="preserve">Forgalmazási nap: </w:t>
      </w:r>
      <w:r w:rsidRPr="00D77120">
        <w:t xml:space="preserve">minden olyan nap, amely az adott </w:t>
      </w:r>
      <w:proofErr w:type="gramStart"/>
      <w:r w:rsidRPr="00D77120">
        <w:t>alap vezető</w:t>
      </w:r>
      <w:proofErr w:type="gramEnd"/>
      <w:r w:rsidRPr="00D77120">
        <w:t xml:space="preserve"> forgalmazójánál nem szünnap, azaz amelyen az alap befektetési jegyeinek tényleges forgalmazása folyik  </w:t>
      </w:r>
    </w:p>
    <w:p w:rsidR="009F1C94" w:rsidRPr="00D77120" w:rsidRDefault="009F1C94" w:rsidP="00C302F6">
      <w:r w:rsidRPr="00D77120">
        <w:rPr>
          <w:b/>
        </w:rPr>
        <w:t xml:space="preserve">Forgalmazók: </w:t>
      </w:r>
      <w:r w:rsidRPr="00D77120">
        <w:t xml:space="preserve">az Alap Befektetési Jegyei forgalmazásának tárgyában az Alapkezelővel és a Vezető Forgalmazóval háromoldalú forgalmazási szerződést kötött </w:t>
      </w:r>
      <w:proofErr w:type="gramStart"/>
      <w:r w:rsidRPr="00D77120">
        <w:t>bank(</w:t>
      </w:r>
      <w:proofErr w:type="gramEnd"/>
      <w:r w:rsidRPr="00D77120">
        <w:t>ok), illetve befektetési szolgáltató(k), illetve azok ügynökei</w:t>
      </w:r>
    </w:p>
    <w:p w:rsidR="009F1C94" w:rsidRPr="00D77120" w:rsidRDefault="009F1C94" w:rsidP="00C302F6">
      <w:r w:rsidRPr="00D77120">
        <w:rPr>
          <w:b/>
        </w:rPr>
        <w:t xml:space="preserve">Hpt.: </w:t>
      </w:r>
      <w:r w:rsidRPr="00D77120">
        <w:t>a Hitelintézetekről és a Pénzügyi Vállalkozásokról szóló 1996. évi CXII. törvény</w:t>
      </w:r>
    </w:p>
    <w:p w:rsidR="009F1C94" w:rsidRPr="00D77120" w:rsidRDefault="009F1C94" w:rsidP="00C302F6">
      <w:pPr>
        <w:rPr>
          <w:b/>
        </w:rPr>
      </w:pPr>
      <w:r w:rsidRPr="00D77120">
        <w:rPr>
          <w:b/>
        </w:rPr>
        <w:t xml:space="preserve">Határidős ügylet: </w:t>
      </w:r>
      <w:r w:rsidRPr="00D77120">
        <w:t>értékpapírra, vagy más befektetési eszközre alapozott nem azonnali ügylet</w:t>
      </w:r>
    </w:p>
    <w:p w:rsidR="009F1C94" w:rsidRPr="00D77120" w:rsidRDefault="009F1C94" w:rsidP="00C302F6">
      <w:r w:rsidRPr="00D77120">
        <w:rPr>
          <w:b/>
        </w:rPr>
        <w:t xml:space="preserve">Hosszú pozíció: </w:t>
      </w:r>
      <w:r w:rsidRPr="00D77120">
        <w:t>minden olyan pozíció, amely esetében az érdekeltség az alapul szolgáló eszköz árváltozását tekintve, áremelkedés hatására értéknövekedésben nyilvánul meg</w:t>
      </w:r>
    </w:p>
    <w:p w:rsidR="009F1C94" w:rsidRPr="00D77120" w:rsidRDefault="009F1C94" w:rsidP="00C302F6">
      <w:pPr>
        <w:rPr>
          <w:b/>
        </w:rPr>
      </w:pPr>
      <w:r w:rsidRPr="00D77120">
        <w:rPr>
          <w:b/>
        </w:rPr>
        <w:t xml:space="preserve">Kezelési Szabályzat: </w:t>
      </w:r>
      <w:r w:rsidRPr="00D77120">
        <w:t>az Alap működése során követendő eljárásokat rögzítő szabályzat, röviden: Kezelési Szabályzat</w:t>
      </w:r>
    </w:p>
    <w:p w:rsidR="009F1C94" w:rsidRPr="00D77120" w:rsidRDefault="009F1C94" w:rsidP="00C302F6">
      <w:r w:rsidRPr="00D77120">
        <w:rPr>
          <w:b/>
        </w:rPr>
        <w:t xml:space="preserve">Kincstárjegy: </w:t>
      </w:r>
      <w:r w:rsidRPr="00D77120">
        <w:t>egy éves, vagy annál rövidebb kibocsátáskori futamidejű állampapír</w:t>
      </w:r>
    </w:p>
    <w:p w:rsidR="009F1C94" w:rsidRPr="00D77120" w:rsidRDefault="009F1C94" w:rsidP="00C302F6">
      <w:r w:rsidRPr="00D77120">
        <w:rPr>
          <w:b/>
        </w:rPr>
        <w:t xml:space="preserve">Kormányrendelet: </w:t>
      </w:r>
      <w:r w:rsidRPr="00D77120">
        <w:t>345/2011. (XII.29.) Korm. rendelet a befektetési alapok befektetési és hitelfelvételi szabályairól</w:t>
      </w:r>
    </w:p>
    <w:p w:rsidR="009F1C94" w:rsidRPr="00D77120" w:rsidRDefault="009F1C94" w:rsidP="009A4B08">
      <w:r w:rsidRPr="00D77120">
        <w:rPr>
          <w:b/>
        </w:rPr>
        <w:t xml:space="preserve">Letétkezelő: </w:t>
      </w:r>
      <w:r w:rsidRPr="00D77120">
        <w:t>a Bszt. 5. § (2) bekezdésének b) pontjában meghatározott letétkezelési szolgáltatásra vonatkozó engedéllyel rendelkező magyarországi székhelyű befektetési vállalkozás vagy hitelintézet nevezetesen a</w:t>
      </w:r>
      <w:r w:rsidR="007D35BD">
        <w:t>z</w:t>
      </w:r>
      <w:r w:rsidR="009A4B08" w:rsidRPr="00D77120">
        <w:t xml:space="preserve"> </w:t>
      </w:r>
      <w:r w:rsidR="007D35BD" w:rsidRPr="007D35BD">
        <w:t xml:space="preserve">UniCredit Bank Hungary Zrt. </w:t>
      </w:r>
      <w:r w:rsidR="009A4B08" w:rsidRPr="00D77120">
        <w:t xml:space="preserve">(Székhelye: </w:t>
      </w:r>
      <w:r w:rsidR="007D35BD" w:rsidRPr="007D35BD">
        <w:t>1054 Budapest, Szabadság tér 5-6.</w:t>
      </w:r>
      <w:r w:rsidR="009A4B08" w:rsidRPr="00D77120">
        <w:t xml:space="preserve">) </w:t>
      </w:r>
    </w:p>
    <w:p w:rsidR="009F1C94" w:rsidRPr="00D77120" w:rsidRDefault="009F1C94" w:rsidP="00C302F6">
      <w:r w:rsidRPr="00D77120">
        <w:rPr>
          <w:b/>
        </w:rPr>
        <w:t xml:space="preserve">Nettó eszközérték: </w:t>
      </w:r>
      <w:r w:rsidRPr="00D77120">
        <w:t>a befektetési alap portfóliójában szereplő eszközök - ideértve a kölcsönbe adásból származó követeléseket is - értéke, csökkentve a portfóliót terhelő összes kötelezettséggel, beleértve a passzív időbeli elhatárolásokat is</w:t>
      </w:r>
    </w:p>
    <w:p w:rsidR="009F1C94" w:rsidRPr="00D77120" w:rsidRDefault="009F1C94" w:rsidP="00C302F6">
      <w:pPr>
        <w:rPr>
          <w:b/>
        </w:rPr>
      </w:pPr>
      <w:r w:rsidRPr="00D77120">
        <w:rPr>
          <w:b/>
        </w:rPr>
        <w:lastRenderedPageBreak/>
        <w:t xml:space="preserve">Ptk.: </w:t>
      </w:r>
      <w:r w:rsidRPr="00D77120">
        <w:t>a Polgári Törvénykönyvről szóló 1959. évi IV. törvény</w:t>
      </w:r>
    </w:p>
    <w:p w:rsidR="009F1C94" w:rsidRPr="00D77120" w:rsidRDefault="009F1C94" w:rsidP="00C302F6">
      <w:r w:rsidRPr="00D77120">
        <w:rPr>
          <w:b/>
        </w:rPr>
        <w:t xml:space="preserve">Részvény: </w:t>
      </w:r>
      <w:r w:rsidRPr="00D77120">
        <w:t>tagsági jogokat megtestesítő értékpapír</w:t>
      </w:r>
    </w:p>
    <w:p w:rsidR="009F1C94" w:rsidRPr="00D77120" w:rsidRDefault="009F1C94" w:rsidP="00C302F6">
      <w:r w:rsidRPr="00D77120">
        <w:rPr>
          <w:b/>
        </w:rPr>
        <w:t xml:space="preserve">RMAX: </w:t>
      </w:r>
      <w:r w:rsidRPr="00D77120">
        <w:t>a három hónapnál hosszabb, de egy évnél rövidebb futamidejű nyilvánosan kibocsátott fix kamatozású Magyar Állampapírokból képzett, az Államadósság Kezelő Központ (ÁKK) által elfogadott hivatalos index</w:t>
      </w:r>
    </w:p>
    <w:p w:rsidR="009F1C94" w:rsidRPr="00D77120" w:rsidRDefault="009F1C94" w:rsidP="00C302F6">
      <w:pPr>
        <w:rPr>
          <w:b/>
        </w:rPr>
      </w:pPr>
      <w:r w:rsidRPr="00D77120">
        <w:rPr>
          <w:b/>
        </w:rPr>
        <w:t xml:space="preserve">Rövid pozíció: </w:t>
      </w:r>
      <w:r w:rsidRPr="00D77120">
        <w:t>minden olyan pozíció, amely esetében az érdekeltség az alapul szolgáló eszköz árváltozását tekintve, árcsökkenés hatására értéknövekedésben nyilvánul meg</w:t>
      </w:r>
    </w:p>
    <w:p w:rsidR="009F1C94" w:rsidRPr="00D77120" w:rsidRDefault="009F1C94" w:rsidP="00C302F6">
      <w:r w:rsidRPr="00D77120">
        <w:rPr>
          <w:b/>
        </w:rPr>
        <w:t xml:space="preserve">Származtatott ügylet: </w:t>
      </w:r>
      <w:r w:rsidRPr="00D77120">
        <w:t>olyan ügylet, amelynek értéke az alapjául szolgáló befektetési eszköz, deviza, áru vagy referenciaráta (alaptermék) értékétől függ, és önálló kereskedés tárgyát képezi (derivatíva)</w:t>
      </w:r>
    </w:p>
    <w:p w:rsidR="009F1C94" w:rsidRPr="00D77120" w:rsidRDefault="009F1C94" w:rsidP="00C302F6">
      <w:r w:rsidRPr="00D77120">
        <w:rPr>
          <w:b/>
        </w:rPr>
        <w:t xml:space="preserve">Tájékoztató: </w:t>
      </w:r>
      <w:r w:rsidRPr="00D77120">
        <w:t>a Batv. 5. melléklete szerint összeállított dokumentum</w:t>
      </w:r>
    </w:p>
    <w:p w:rsidR="009F1C94" w:rsidRPr="00D77120" w:rsidRDefault="009F1C94" w:rsidP="00C302F6">
      <w:r w:rsidRPr="00D77120">
        <w:rPr>
          <w:b/>
        </w:rPr>
        <w:t xml:space="preserve">T-nap: </w:t>
      </w:r>
      <w:r w:rsidRPr="00D77120">
        <w:t xml:space="preserve">az ügyletkötésre vonatkozó megbízás </w:t>
      </w:r>
      <w:proofErr w:type="gramStart"/>
      <w:r w:rsidRPr="00D77120">
        <w:t>leadásának napja</w:t>
      </w:r>
      <w:proofErr w:type="gramEnd"/>
    </w:p>
    <w:p w:rsidR="009F1C94" w:rsidRPr="00D77120" w:rsidRDefault="009F1C94" w:rsidP="00C302F6">
      <w:r w:rsidRPr="00D77120">
        <w:rPr>
          <w:b/>
        </w:rPr>
        <w:t xml:space="preserve">Tpt.: </w:t>
      </w:r>
      <w:r w:rsidRPr="00D77120">
        <w:t>a tőkepiacról szóló 2001. évi CXX. törvény</w:t>
      </w:r>
    </w:p>
    <w:p w:rsidR="009F1C94" w:rsidRPr="00D77120" w:rsidRDefault="009F1C94" w:rsidP="00C302F6">
      <w:r w:rsidRPr="00D77120">
        <w:rPr>
          <w:b/>
        </w:rPr>
        <w:t xml:space="preserve">Vezető Forgalmazó: </w:t>
      </w:r>
      <w:r w:rsidRPr="00D77120">
        <w:t>a Concorde Értékpapír Zrt. (székhely: 1123 Budapest, Alkotás utca 50.)</w:t>
      </w:r>
    </w:p>
    <w:p w:rsidR="009F1C94" w:rsidRPr="00D77120" w:rsidRDefault="009F1C94">
      <w:pPr>
        <w:keepLines w:val="0"/>
        <w:spacing w:after="0"/>
        <w:jc w:val="left"/>
        <w:rPr>
          <w:b/>
          <w:caps/>
          <w:kern w:val="28"/>
        </w:rPr>
      </w:pPr>
      <w:r w:rsidRPr="00D77120">
        <w:br w:type="page"/>
      </w:r>
    </w:p>
    <w:p w:rsidR="009F1C94" w:rsidRPr="00C21569" w:rsidRDefault="009F1C94" w:rsidP="00896B96">
      <w:pPr>
        <w:pStyle w:val="Cmsor1"/>
        <w:numPr>
          <w:ilvl w:val="0"/>
          <w:numId w:val="31"/>
        </w:numPr>
        <w:rPr>
          <w:rFonts w:ascii="Verdana" w:hAnsi="Verdana"/>
          <w:szCs w:val="16"/>
        </w:rPr>
      </w:pPr>
      <w:bookmarkStart w:id="14" w:name="_Toc349832268"/>
      <w:r w:rsidRPr="00C21569">
        <w:rPr>
          <w:rFonts w:ascii="Verdana" w:hAnsi="Verdana"/>
          <w:szCs w:val="16"/>
        </w:rPr>
        <w:lastRenderedPageBreak/>
        <w:t xml:space="preserve">A befektetési alapra vonatkozó </w:t>
      </w:r>
      <w:r w:rsidR="00B356A1">
        <w:rPr>
          <w:rFonts w:ascii="Verdana" w:hAnsi="Verdana"/>
          <w:szCs w:val="16"/>
        </w:rPr>
        <w:t>ALAP</w:t>
      </w:r>
      <w:r w:rsidRPr="00C21569">
        <w:rPr>
          <w:rFonts w:ascii="Verdana" w:hAnsi="Verdana"/>
          <w:szCs w:val="16"/>
        </w:rPr>
        <w:t>információk</w:t>
      </w:r>
      <w:bookmarkEnd w:id="4"/>
      <w:bookmarkEnd w:id="5"/>
      <w:bookmarkEnd w:id="6"/>
      <w:bookmarkEnd w:id="14"/>
    </w:p>
    <w:p w:rsidR="00896B96" w:rsidRPr="00D77120" w:rsidRDefault="00896B96" w:rsidP="00896B96">
      <w:pPr>
        <w:pStyle w:val="Cmsor2"/>
        <w:keepLines w:val="0"/>
        <w:numPr>
          <w:ilvl w:val="0"/>
          <w:numId w:val="32"/>
        </w:numPr>
        <w:jc w:val="left"/>
        <w:rPr>
          <w:u w:val="single"/>
        </w:rPr>
      </w:pPr>
      <w:bookmarkStart w:id="15" w:name="_Toc349832269"/>
      <w:r w:rsidRPr="00D77120">
        <w:rPr>
          <w:u w:val="single"/>
        </w:rPr>
        <w:t xml:space="preserve">A befektetési alap </w:t>
      </w:r>
      <w:r w:rsidR="00B356A1">
        <w:rPr>
          <w:u w:val="single"/>
        </w:rPr>
        <w:t>alapadatai</w:t>
      </w:r>
      <w:bookmarkEnd w:id="15"/>
    </w:p>
    <w:p w:rsidR="00896B96" w:rsidRPr="00D77120" w:rsidRDefault="00896B96" w:rsidP="00FC245C">
      <w:pPr>
        <w:pStyle w:val="Cmsor2"/>
        <w:keepLines w:val="0"/>
        <w:numPr>
          <w:ilvl w:val="1"/>
          <w:numId w:val="32"/>
        </w:numPr>
        <w:rPr>
          <w:u w:val="single"/>
        </w:rPr>
      </w:pPr>
      <w:bookmarkStart w:id="16" w:name="_Toc349832270"/>
      <w:r w:rsidRPr="00D77120">
        <w:t>A befektetési alap neve:</w:t>
      </w:r>
      <w:bookmarkEnd w:id="16"/>
    </w:p>
    <w:p w:rsidR="00896B96" w:rsidRPr="00D77120" w:rsidRDefault="00B356A1" w:rsidP="000F63F4">
      <w:pPr>
        <w:spacing w:before="240"/>
        <w:ind w:left="425"/>
        <w:rPr>
          <w:u w:val="single"/>
        </w:rPr>
      </w:pPr>
      <w:r>
        <w:t xml:space="preserve">Concorde </w:t>
      </w:r>
      <w:r w:rsidR="004D050F">
        <w:t>Hold Euro</w:t>
      </w:r>
      <w:r>
        <w:t xml:space="preserve"> Alapok Alapja</w:t>
      </w:r>
    </w:p>
    <w:p w:rsidR="00896B96" w:rsidRPr="00D77120" w:rsidRDefault="00896B96" w:rsidP="00FC245C">
      <w:pPr>
        <w:pStyle w:val="Cmsor2"/>
        <w:keepLines w:val="0"/>
        <w:numPr>
          <w:ilvl w:val="1"/>
          <w:numId w:val="32"/>
        </w:numPr>
      </w:pPr>
      <w:bookmarkStart w:id="17" w:name="_Toc349832271"/>
      <w:r w:rsidRPr="00D77120">
        <w:t>A befektetési alap rövid neve:</w:t>
      </w:r>
      <w:bookmarkEnd w:id="17"/>
    </w:p>
    <w:p w:rsidR="00896B96" w:rsidRPr="00D77120" w:rsidRDefault="00896B96" w:rsidP="000F63F4">
      <w:pPr>
        <w:spacing w:before="240"/>
        <w:ind w:left="425"/>
      </w:pPr>
      <w:r w:rsidRPr="007B4D6A">
        <w:t xml:space="preserve">Concorde </w:t>
      </w:r>
      <w:r w:rsidR="004D050F" w:rsidRPr="007B4D6A">
        <w:t>Hold Euro</w:t>
      </w:r>
      <w:r w:rsidR="00445FD8" w:rsidRPr="007B4D6A">
        <w:t xml:space="preserve"> </w:t>
      </w:r>
      <w:r w:rsidRPr="007B4D6A">
        <w:t>Alap</w:t>
      </w:r>
    </w:p>
    <w:p w:rsidR="00896B96" w:rsidRPr="00D77120" w:rsidRDefault="00896B96" w:rsidP="00FC245C">
      <w:pPr>
        <w:pStyle w:val="Cmsor2"/>
        <w:keepLines w:val="0"/>
        <w:numPr>
          <w:ilvl w:val="1"/>
          <w:numId w:val="32"/>
        </w:numPr>
      </w:pPr>
      <w:bookmarkStart w:id="18" w:name="_Toc349832272"/>
      <w:r w:rsidRPr="00D77120">
        <w:t>A befektetési alap székhelye:</w:t>
      </w:r>
      <w:bookmarkEnd w:id="18"/>
    </w:p>
    <w:p w:rsidR="00896B96" w:rsidRPr="00D77120" w:rsidRDefault="00896B96" w:rsidP="000F63F4">
      <w:pPr>
        <w:spacing w:before="240"/>
        <w:ind w:left="425"/>
      </w:pPr>
      <w:r w:rsidRPr="00D77120">
        <w:t>1123 Budapest, Alkotás utca 50.</w:t>
      </w:r>
    </w:p>
    <w:p w:rsidR="00896B96" w:rsidRPr="00D77120" w:rsidRDefault="00896B96" w:rsidP="00FC245C">
      <w:pPr>
        <w:pStyle w:val="Cmsor2"/>
        <w:keepLines w:val="0"/>
        <w:numPr>
          <w:ilvl w:val="1"/>
          <w:numId w:val="32"/>
        </w:numPr>
      </w:pPr>
      <w:bookmarkStart w:id="19" w:name="_Toc349832273"/>
      <w:r w:rsidRPr="00D77120">
        <w:t xml:space="preserve">A befektetési </w:t>
      </w:r>
      <w:proofErr w:type="gramStart"/>
      <w:r w:rsidRPr="00D77120">
        <w:t>alap nyilvántartásba</w:t>
      </w:r>
      <w:proofErr w:type="gramEnd"/>
      <w:r w:rsidRPr="00D77120">
        <w:t xml:space="preserve"> vételének időpontja, nyilvántartási száma:</w:t>
      </w:r>
      <w:bookmarkEnd w:id="19"/>
    </w:p>
    <w:p w:rsidR="00896B96" w:rsidRPr="00D77120" w:rsidRDefault="00896B96" w:rsidP="000F63F4">
      <w:pPr>
        <w:spacing w:before="240"/>
        <w:ind w:left="425"/>
      </w:pPr>
      <w:r w:rsidRPr="006B6AC1">
        <w:t>201</w:t>
      </w:r>
      <w:r w:rsidR="00B356A1" w:rsidRPr="006B6AC1">
        <w:t>3</w:t>
      </w:r>
      <w:r w:rsidRPr="006B6AC1">
        <w:t xml:space="preserve">. </w:t>
      </w:r>
      <w:r w:rsidR="006B6AC1" w:rsidRPr="006B6AC1">
        <w:t>május 15</w:t>
      </w:r>
      <w:proofErr w:type="gramStart"/>
      <w:r w:rsidRPr="006B6AC1">
        <w:t>.</w:t>
      </w:r>
      <w:r w:rsidR="006B6AC1" w:rsidRPr="006B6AC1">
        <w:t>,</w:t>
      </w:r>
      <w:proofErr w:type="gramEnd"/>
      <w:r w:rsidR="006B6AC1" w:rsidRPr="006B6AC1">
        <w:t xml:space="preserve"> 0000-521</w:t>
      </w:r>
      <w:r w:rsidRPr="00D77120">
        <w:t xml:space="preserve"> </w:t>
      </w:r>
    </w:p>
    <w:p w:rsidR="00896B96" w:rsidRPr="00D77120" w:rsidRDefault="00896B96" w:rsidP="00FC245C">
      <w:pPr>
        <w:pStyle w:val="Cmsor2"/>
        <w:keepLines w:val="0"/>
        <w:numPr>
          <w:ilvl w:val="1"/>
          <w:numId w:val="32"/>
        </w:numPr>
      </w:pPr>
      <w:bookmarkStart w:id="20" w:name="_Toc349832274"/>
      <w:r w:rsidRPr="00D77120">
        <w:t>A befektetési alapkezelő neve:</w:t>
      </w:r>
      <w:bookmarkEnd w:id="20"/>
    </w:p>
    <w:p w:rsidR="00896B96" w:rsidRPr="00D77120" w:rsidRDefault="00896B96" w:rsidP="000F63F4">
      <w:pPr>
        <w:spacing w:before="240"/>
        <w:ind w:left="425"/>
      </w:pPr>
      <w:r w:rsidRPr="00D77120">
        <w:t>Concorde Alapkezelő Befektetési Alapkezelő zrt.</w:t>
      </w:r>
    </w:p>
    <w:p w:rsidR="00896B96" w:rsidRPr="00D77120" w:rsidRDefault="00896B96" w:rsidP="00FC245C">
      <w:pPr>
        <w:pStyle w:val="Cmsor2"/>
        <w:keepLines w:val="0"/>
        <w:numPr>
          <w:ilvl w:val="1"/>
          <w:numId w:val="32"/>
        </w:numPr>
      </w:pPr>
      <w:bookmarkStart w:id="21" w:name="_Toc349832275"/>
      <w:r w:rsidRPr="00D77120">
        <w:t>A letétkezelő neve:</w:t>
      </w:r>
      <w:bookmarkEnd w:id="21"/>
    </w:p>
    <w:p w:rsidR="00896B96" w:rsidRPr="00D77120" w:rsidRDefault="007D35BD" w:rsidP="000F63F4">
      <w:pPr>
        <w:spacing w:before="240"/>
        <w:ind w:left="425"/>
      </w:pPr>
      <w:r w:rsidRPr="007D35BD">
        <w:t>UniCredit Bank Hungary Zrt.</w:t>
      </w:r>
    </w:p>
    <w:p w:rsidR="00896B96" w:rsidRPr="00D77120" w:rsidRDefault="00896B96" w:rsidP="00FC245C">
      <w:pPr>
        <w:pStyle w:val="Cmsor2"/>
        <w:keepLines w:val="0"/>
        <w:numPr>
          <w:ilvl w:val="1"/>
          <w:numId w:val="32"/>
        </w:numPr>
      </w:pPr>
      <w:bookmarkStart w:id="22" w:name="_Toc349832276"/>
      <w:r w:rsidRPr="00D77120">
        <w:t>A forgalmazó neve:</w:t>
      </w:r>
      <w:bookmarkEnd w:id="22"/>
    </w:p>
    <w:p w:rsidR="00896B96" w:rsidRPr="00D77120" w:rsidRDefault="00896B96" w:rsidP="000F63F4">
      <w:pPr>
        <w:spacing w:before="240"/>
        <w:ind w:left="425"/>
      </w:pPr>
      <w:r w:rsidRPr="00D77120">
        <w:t>Concorde Értékpapír Zrt.</w:t>
      </w:r>
    </w:p>
    <w:p w:rsidR="00896B96" w:rsidRPr="00D77120" w:rsidRDefault="00896B96" w:rsidP="00FC245C">
      <w:pPr>
        <w:pStyle w:val="Cmsor2"/>
        <w:keepLines w:val="0"/>
        <w:numPr>
          <w:ilvl w:val="1"/>
          <w:numId w:val="32"/>
        </w:numPr>
      </w:pPr>
      <w:bookmarkStart w:id="23" w:name="_Toc349832277"/>
      <w:r w:rsidRPr="00D77120">
        <w:t xml:space="preserve">A befektetési </w:t>
      </w:r>
      <w:proofErr w:type="gramStart"/>
      <w:r w:rsidRPr="00D77120">
        <w:t>alap működési</w:t>
      </w:r>
      <w:proofErr w:type="gramEnd"/>
      <w:r w:rsidRPr="00D77120">
        <w:t xml:space="preserve"> formája</w:t>
      </w:r>
      <w:r w:rsidR="00B356A1">
        <w:t xml:space="preserve"> (zártkörű vagy nyilvános)</w:t>
      </w:r>
      <w:r w:rsidRPr="00D77120">
        <w:t>:</w:t>
      </w:r>
      <w:bookmarkEnd w:id="23"/>
    </w:p>
    <w:p w:rsidR="00896B96" w:rsidRPr="00D77120" w:rsidRDefault="00896B96" w:rsidP="000F63F4">
      <w:pPr>
        <w:spacing w:before="240"/>
        <w:ind w:left="425"/>
      </w:pPr>
      <w:r w:rsidRPr="00D77120">
        <w:t>Nyilvános</w:t>
      </w:r>
    </w:p>
    <w:p w:rsidR="00896B96" w:rsidRPr="00D77120" w:rsidRDefault="00896B96" w:rsidP="00B356A1">
      <w:pPr>
        <w:pStyle w:val="Cmsor2"/>
        <w:keepLines w:val="0"/>
        <w:numPr>
          <w:ilvl w:val="1"/>
          <w:numId w:val="32"/>
        </w:numPr>
      </w:pPr>
      <w:bookmarkStart w:id="24" w:name="_Toc349832278"/>
      <w:r w:rsidRPr="00D77120">
        <w:t>A befektetési alap fajtája</w:t>
      </w:r>
      <w:r w:rsidR="00B356A1">
        <w:t xml:space="preserve"> </w:t>
      </w:r>
      <w:r w:rsidR="00B356A1" w:rsidRPr="00B356A1">
        <w:t>(nyíltvégű vagy zártvégű)</w:t>
      </w:r>
      <w:r w:rsidRPr="00D77120">
        <w:t>:</w:t>
      </w:r>
      <w:bookmarkEnd w:id="24"/>
    </w:p>
    <w:p w:rsidR="00896B96" w:rsidRPr="00D77120" w:rsidRDefault="00B356A1" w:rsidP="000F63F4">
      <w:pPr>
        <w:spacing w:before="240"/>
        <w:ind w:left="425"/>
      </w:pPr>
      <w:r>
        <w:t>Nyílt</w:t>
      </w:r>
      <w:r w:rsidR="00896B96" w:rsidRPr="00D77120">
        <w:t>végű</w:t>
      </w:r>
    </w:p>
    <w:p w:rsidR="00896B96" w:rsidRPr="00D77120" w:rsidRDefault="00896B96" w:rsidP="00B356A1">
      <w:pPr>
        <w:pStyle w:val="Cmsor2"/>
        <w:keepLines w:val="0"/>
        <w:numPr>
          <w:ilvl w:val="1"/>
          <w:numId w:val="32"/>
        </w:numPr>
      </w:pPr>
      <w:bookmarkStart w:id="25" w:name="_Toc349832279"/>
      <w:r w:rsidRPr="00D77120">
        <w:t>A befektetési alap futamideje</w:t>
      </w:r>
      <w:r w:rsidR="00B356A1">
        <w:t xml:space="preserve"> (határozatlan vagy határozott)</w:t>
      </w:r>
      <w:r w:rsidR="00B356A1" w:rsidRPr="00B356A1">
        <w:t xml:space="preserve">, </w:t>
      </w:r>
      <w:proofErr w:type="spellStart"/>
      <w:r w:rsidR="00B356A1" w:rsidRPr="00B356A1">
        <w:t>határozott</w:t>
      </w:r>
      <w:proofErr w:type="spellEnd"/>
      <w:r w:rsidR="00B356A1" w:rsidRPr="00B356A1">
        <w:t xml:space="preserve"> futamidő esetén a futamidő lejáratának feltüntetése</w:t>
      </w:r>
      <w:r w:rsidRPr="00D77120">
        <w:t>:</w:t>
      </w:r>
      <w:bookmarkEnd w:id="25"/>
    </w:p>
    <w:p w:rsidR="00896B96" w:rsidRPr="00D77120" w:rsidRDefault="00B356A1" w:rsidP="000F63F4">
      <w:pPr>
        <w:spacing w:before="240"/>
        <w:ind w:left="425"/>
      </w:pPr>
      <w:r>
        <w:t>Határoza</w:t>
      </w:r>
      <w:r w:rsidR="00896B96" w:rsidRPr="00D77120">
        <w:t>t</w:t>
      </w:r>
      <w:r>
        <w:t>lan</w:t>
      </w:r>
      <w:r w:rsidR="00896B96" w:rsidRPr="00D77120">
        <w:t xml:space="preserve"> </w:t>
      </w:r>
    </w:p>
    <w:p w:rsidR="00896B96" w:rsidRPr="00D77120" w:rsidRDefault="00B356A1" w:rsidP="00B356A1">
      <w:pPr>
        <w:pStyle w:val="Cmsor2"/>
        <w:keepLines w:val="0"/>
        <w:numPr>
          <w:ilvl w:val="1"/>
          <w:numId w:val="32"/>
        </w:numPr>
      </w:pPr>
      <w:bookmarkStart w:id="26" w:name="_Toc349832280"/>
      <w:r w:rsidRPr="00B356A1">
        <w:t>Annak feltüntetése, ha a befektetési alap ÁÉKBV-irányelv alapján harmonizált alap</w:t>
      </w:r>
      <w:r w:rsidR="00896B96" w:rsidRPr="00D77120">
        <w:t>:</w:t>
      </w:r>
      <w:bookmarkEnd w:id="26"/>
    </w:p>
    <w:p w:rsidR="00896B96" w:rsidRPr="00D77120" w:rsidRDefault="00896B96" w:rsidP="000F63F4">
      <w:pPr>
        <w:spacing w:before="240"/>
        <w:ind w:left="425"/>
      </w:pPr>
      <w:r w:rsidRPr="00D77120">
        <w:t>A harmonizáció alapján az ÁÉKBV-irányelv alapján nem harmonizált</w:t>
      </w:r>
    </w:p>
    <w:p w:rsidR="00896B96" w:rsidRPr="00D77120" w:rsidRDefault="00896B96" w:rsidP="00B356A1">
      <w:pPr>
        <w:pStyle w:val="Cmsor2"/>
        <w:keepLines w:val="0"/>
        <w:numPr>
          <w:ilvl w:val="1"/>
          <w:numId w:val="32"/>
        </w:numPr>
      </w:pPr>
      <w:bookmarkStart w:id="27" w:name="_Toc349832281"/>
      <w:r w:rsidRPr="00D77120">
        <w:t>A befektetési alap által kibocsátott sorozatok száma</w:t>
      </w:r>
      <w:r w:rsidR="00B356A1">
        <w:t xml:space="preserve">, </w:t>
      </w:r>
      <w:r w:rsidR="00B356A1" w:rsidRPr="00B356A1">
        <w:t>jelölése, annak feltüntetése, hogy az egyes sorozatok milyen jellemzőkben térnek el egymástól</w:t>
      </w:r>
      <w:r w:rsidRPr="00D77120">
        <w:t>:</w:t>
      </w:r>
      <w:bookmarkEnd w:id="27"/>
    </w:p>
    <w:p w:rsidR="00896B96" w:rsidRPr="00D77120" w:rsidRDefault="00B356A1" w:rsidP="000F63F4">
      <w:pPr>
        <w:spacing w:before="240"/>
        <w:ind w:left="425"/>
      </w:pPr>
      <w:r w:rsidRPr="00B356A1">
        <w:t xml:space="preserve">Az Alap befektetési jegyei egy sorozatban lettek kibocsátva </w:t>
      </w:r>
      <w:r w:rsidRPr="007B4D6A">
        <w:t>HU00007</w:t>
      </w:r>
      <w:r w:rsidR="007B4D6A" w:rsidRPr="007B4D6A">
        <w:t>12252</w:t>
      </w:r>
      <w:r w:rsidR="007B4D6A">
        <w:t>-e</w:t>
      </w:r>
      <w:r w:rsidRPr="00B356A1">
        <w:t>s ISIN azonosítóval.</w:t>
      </w:r>
    </w:p>
    <w:p w:rsidR="00896B96" w:rsidRPr="00D77120" w:rsidRDefault="00896B96" w:rsidP="00B356A1">
      <w:pPr>
        <w:pStyle w:val="Cmsor2"/>
        <w:keepLines w:val="0"/>
        <w:numPr>
          <w:ilvl w:val="1"/>
          <w:numId w:val="32"/>
        </w:numPr>
      </w:pPr>
      <w:bookmarkStart w:id="28" w:name="_Toc349832282"/>
      <w:r w:rsidRPr="00D77120">
        <w:t>A befektetési alap elsődleges eszközkategóriájának típusa</w:t>
      </w:r>
      <w:r w:rsidR="00B356A1">
        <w:t xml:space="preserve"> </w:t>
      </w:r>
      <w:r w:rsidR="00B356A1" w:rsidRPr="00B356A1">
        <w:t>(értékpapír- vagy ingatlanalap</w:t>
      </w:r>
      <w:r w:rsidR="00F32A84" w:rsidRPr="00B356A1">
        <w:t>)</w:t>
      </w:r>
      <w:r w:rsidR="00F32A84">
        <w:t>:</w:t>
      </w:r>
      <w:bookmarkEnd w:id="28"/>
    </w:p>
    <w:p w:rsidR="00896B96" w:rsidRPr="00D77120" w:rsidRDefault="00896B96" w:rsidP="000F63F4">
      <w:pPr>
        <w:spacing w:before="240"/>
        <w:ind w:left="425"/>
      </w:pPr>
      <w:r w:rsidRPr="00D77120">
        <w:t>Értékpapíralap</w:t>
      </w:r>
    </w:p>
    <w:p w:rsidR="00896B96" w:rsidRPr="00D77120" w:rsidRDefault="00B356A1" w:rsidP="00B356A1">
      <w:pPr>
        <w:pStyle w:val="Cmsor2"/>
        <w:keepLines w:val="0"/>
        <w:numPr>
          <w:ilvl w:val="1"/>
          <w:numId w:val="32"/>
        </w:numPr>
      </w:pPr>
      <w:bookmarkStart w:id="29" w:name="_Toc349832283"/>
      <w:r w:rsidRPr="00B356A1">
        <w:lastRenderedPageBreak/>
        <w:t>Annak feltüntetése, ha a befektetési alap tőkéjének megóvására, illetve a hozamra vonatkozó ígéretet bankgarancia vagy kezesi biztosítás biztosítja (tőke-, illetve hozamgarancia) vagy azt a befektetési alap részletes befektetési politikája támasztja alá (tőke-, illetve hozamvédelem); az ennek feltételeit a kezelési szabályzatban részletesen tartalmazó pont megjelölése</w:t>
      </w:r>
      <w:r w:rsidR="00896B96" w:rsidRPr="00D77120">
        <w:t>:</w:t>
      </w:r>
      <w:bookmarkEnd w:id="29"/>
    </w:p>
    <w:p w:rsidR="00896B96" w:rsidRPr="00D77120" w:rsidRDefault="00B356A1" w:rsidP="000F63F4">
      <w:pPr>
        <w:spacing w:before="240"/>
        <w:ind w:left="425"/>
      </w:pPr>
      <w:r w:rsidRPr="00B356A1">
        <w:t>Az Alapra nincs semmilyen tőke- illetve hozamígéret, vagy garancia.</w:t>
      </w:r>
    </w:p>
    <w:p w:rsidR="00896B96" w:rsidRDefault="00896B96" w:rsidP="00FE5F5C">
      <w:pPr>
        <w:pStyle w:val="Cmsor2"/>
        <w:keepLines w:val="0"/>
        <w:numPr>
          <w:ilvl w:val="0"/>
          <w:numId w:val="32"/>
        </w:numPr>
        <w:rPr>
          <w:u w:val="single"/>
        </w:rPr>
      </w:pPr>
      <w:bookmarkStart w:id="30" w:name="_Toc349832284"/>
      <w:r w:rsidRPr="00D77120">
        <w:rPr>
          <w:u w:val="single"/>
        </w:rPr>
        <w:t xml:space="preserve">A befektetési alapra </w:t>
      </w:r>
      <w:r w:rsidR="000F63F4" w:rsidRPr="00D77120">
        <w:rPr>
          <w:u w:val="single"/>
        </w:rPr>
        <w:t xml:space="preserve">vonatkozó </w:t>
      </w:r>
      <w:r w:rsidRPr="00D77120">
        <w:rPr>
          <w:u w:val="single"/>
        </w:rPr>
        <w:t>egyéb alapinformációk</w:t>
      </w:r>
      <w:bookmarkEnd w:id="30"/>
    </w:p>
    <w:p w:rsidR="00B356A1" w:rsidRPr="00B356A1" w:rsidRDefault="00B356A1" w:rsidP="00B356A1">
      <w:pPr>
        <w:spacing w:before="240"/>
        <w:ind w:left="425"/>
      </w:pPr>
      <w:r w:rsidRPr="00CD21B2">
        <w:t>Az Alap tőkenövekménye terhére nem fizet hozamot. Befektetéseinek hozamait (osztalék, kamat, árfolyamnyereség) folyamatosan visszaforgatja, azokból újabb befektetéseket hajt végre az Alap befektetési politikájának megfelelően. A Befektetési Jeggyel rendelkezők kizárólag a Befektetési Jegyek visszaváltásával, lejáratkor juthatnak hozzá a tőkenövekményhez.</w:t>
      </w:r>
    </w:p>
    <w:p w:rsidR="00896B96" w:rsidRPr="00D77120" w:rsidRDefault="00896B96" w:rsidP="00FE5F5C">
      <w:pPr>
        <w:pStyle w:val="Cmsor2"/>
        <w:keepLines w:val="0"/>
        <w:numPr>
          <w:ilvl w:val="0"/>
          <w:numId w:val="32"/>
        </w:numPr>
        <w:rPr>
          <w:u w:val="single"/>
        </w:rPr>
      </w:pPr>
      <w:bookmarkStart w:id="31" w:name="_Toc349832285"/>
      <w:r w:rsidRPr="00D77120">
        <w:rPr>
          <w:u w:val="single"/>
        </w:rPr>
        <w:t>A befektetési alapkezelésre, a befektetési jegyek forgalomba hozatalára és forgalmazására vonatkozó, valamint az alap és a befektetők között jogviszonyt szabályozó jogszabályok:</w:t>
      </w:r>
      <w:bookmarkEnd w:id="31"/>
    </w:p>
    <w:p w:rsidR="00B356A1" w:rsidRDefault="00B356A1" w:rsidP="00B356A1">
      <w:pPr>
        <w:spacing w:before="60"/>
        <w:ind w:left="425"/>
      </w:pPr>
      <w:r>
        <w:t>A tőkepiacról szóló 2001. évi CXX. törvény</w:t>
      </w:r>
    </w:p>
    <w:p w:rsidR="00B356A1" w:rsidRDefault="00B356A1" w:rsidP="00B356A1">
      <w:pPr>
        <w:spacing w:before="60"/>
        <w:ind w:left="425"/>
      </w:pPr>
      <w:r>
        <w:t>2011. évi CXCIII. törvény a befektetési alapkezelőkről és a kollektív befektetési formákról</w:t>
      </w:r>
    </w:p>
    <w:p w:rsidR="00B356A1" w:rsidRDefault="00B356A1" w:rsidP="00B356A1">
      <w:pPr>
        <w:spacing w:before="60"/>
        <w:ind w:left="425"/>
      </w:pPr>
      <w:r>
        <w:t>A befektetési vállalkozásokról és az árutőzsdei szolgáltatókról, valamint az általuk végezhető tevékenységek szabályairól szóló 2007. évi CXXXVIII. törvény</w:t>
      </w:r>
    </w:p>
    <w:p w:rsidR="00B356A1" w:rsidRDefault="00B356A1" w:rsidP="00B356A1">
      <w:pPr>
        <w:spacing w:before="60"/>
        <w:ind w:left="425"/>
      </w:pPr>
      <w:r>
        <w:t>A Polgári Törvénykönyvről szóló 1959. évi IV. törvény</w:t>
      </w:r>
    </w:p>
    <w:p w:rsidR="00896B96" w:rsidRPr="00D77120" w:rsidRDefault="00B356A1" w:rsidP="00B356A1">
      <w:pPr>
        <w:spacing w:before="60"/>
        <w:ind w:left="425"/>
      </w:pPr>
      <w:r>
        <w:t>345/2011. (XII.29.) Korm. rendelet a befektetési alapok befektetési és hitelfelvételi szabályairól</w:t>
      </w:r>
    </w:p>
    <w:p w:rsidR="007E0F55" w:rsidRDefault="007E0F55">
      <w:pPr>
        <w:keepLines w:val="0"/>
        <w:spacing w:after="0"/>
        <w:jc w:val="left"/>
        <w:rPr>
          <w:b/>
          <w:caps/>
          <w:kern w:val="28"/>
          <w:sz w:val="24"/>
          <w:szCs w:val="20"/>
        </w:rPr>
      </w:pPr>
      <w:r>
        <w:br w:type="page"/>
      </w:r>
    </w:p>
    <w:p w:rsidR="00896B96" w:rsidRPr="002E6CC3" w:rsidRDefault="00896B96" w:rsidP="00896B96">
      <w:pPr>
        <w:pStyle w:val="Cmsor1"/>
        <w:keepLines w:val="0"/>
        <w:numPr>
          <w:ilvl w:val="0"/>
          <w:numId w:val="31"/>
        </w:numPr>
        <w:rPr>
          <w:rFonts w:ascii="Verdana" w:hAnsi="Verdana"/>
        </w:rPr>
      </w:pPr>
      <w:bookmarkStart w:id="32" w:name="_Toc349832286"/>
      <w:r w:rsidRPr="002E6CC3">
        <w:rPr>
          <w:rFonts w:ascii="Verdana" w:hAnsi="Verdana"/>
        </w:rPr>
        <w:lastRenderedPageBreak/>
        <w:t>A befektetési jegyre vonatkozó információk</w:t>
      </w:r>
      <w:bookmarkEnd w:id="32"/>
    </w:p>
    <w:p w:rsidR="00896B96" w:rsidRPr="00D77120" w:rsidRDefault="00896B96" w:rsidP="00FE5F5C">
      <w:pPr>
        <w:pStyle w:val="Cmsor2"/>
        <w:keepLines w:val="0"/>
        <w:numPr>
          <w:ilvl w:val="0"/>
          <w:numId w:val="32"/>
        </w:numPr>
        <w:rPr>
          <w:u w:val="single"/>
        </w:rPr>
      </w:pPr>
      <w:bookmarkStart w:id="33" w:name="_Toc349832287"/>
      <w:r w:rsidRPr="00D77120">
        <w:rPr>
          <w:u w:val="single"/>
        </w:rPr>
        <w:t>A befektetési jegy ISIN azonosítója:</w:t>
      </w:r>
      <w:bookmarkEnd w:id="33"/>
    </w:p>
    <w:p w:rsidR="00896B96" w:rsidRPr="00D77120" w:rsidRDefault="00896B96" w:rsidP="000F63F4">
      <w:pPr>
        <w:spacing w:before="240"/>
        <w:ind w:left="425"/>
      </w:pPr>
      <w:r w:rsidRPr="00E107F4">
        <w:t>HU000071</w:t>
      </w:r>
      <w:r w:rsidR="00E107F4" w:rsidRPr="00E107F4">
        <w:t>2252</w:t>
      </w:r>
    </w:p>
    <w:p w:rsidR="00896B96" w:rsidRPr="00D77120" w:rsidRDefault="00896B96" w:rsidP="00FE5F5C">
      <w:pPr>
        <w:pStyle w:val="Cmsor2"/>
        <w:keepLines w:val="0"/>
        <w:numPr>
          <w:ilvl w:val="0"/>
          <w:numId w:val="32"/>
        </w:numPr>
        <w:rPr>
          <w:u w:val="single"/>
        </w:rPr>
      </w:pPr>
      <w:bookmarkStart w:id="34" w:name="_Toc349832288"/>
      <w:r w:rsidRPr="00D77120">
        <w:rPr>
          <w:u w:val="single"/>
        </w:rPr>
        <w:t>A befektetési jegy névértéke:</w:t>
      </w:r>
      <w:bookmarkEnd w:id="34"/>
    </w:p>
    <w:p w:rsidR="00896B96" w:rsidRPr="00D77120" w:rsidRDefault="00896B96" w:rsidP="000F63F4">
      <w:pPr>
        <w:spacing w:before="240"/>
        <w:ind w:left="425"/>
      </w:pPr>
      <w:r w:rsidRPr="00E107F4">
        <w:t xml:space="preserve">1 </w:t>
      </w:r>
      <w:r w:rsidR="00B356A1" w:rsidRPr="00E107F4">
        <w:t>EUR</w:t>
      </w:r>
      <w:r w:rsidRPr="00E107F4">
        <w:t xml:space="preserve">, azaz egy </w:t>
      </w:r>
      <w:r w:rsidR="00B356A1" w:rsidRPr="00E107F4">
        <w:t>euró</w:t>
      </w:r>
    </w:p>
    <w:p w:rsidR="00896B96" w:rsidRPr="00D77120" w:rsidRDefault="00896B96" w:rsidP="00FE5F5C">
      <w:pPr>
        <w:pStyle w:val="Cmsor2"/>
        <w:keepLines w:val="0"/>
        <w:numPr>
          <w:ilvl w:val="0"/>
          <w:numId w:val="32"/>
        </w:numPr>
        <w:rPr>
          <w:u w:val="single"/>
        </w:rPr>
      </w:pPr>
      <w:bookmarkStart w:id="35" w:name="_Toc349832289"/>
      <w:r w:rsidRPr="00D77120">
        <w:rPr>
          <w:u w:val="single"/>
        </w:rPr>
        <w:t>A befektetési jegy devizaneme:</w:t>
      </w:r>
      <w:bookmarkEnd w:id="35"/>
    </w:p>
    <w:p w:rsidR="00896B96" w:rsidRPr="00D77120" w:rsidRDefault="00F32A84" w:rsidP="000F63F4">
      <w:pPr>
        <w:spacing w:before="240"/>
        <w:ind w:left="425"/>
      </w:pPr>
      <w:r>
        <w:t>Euró</w:t>
      </w:r>
    </w:p>
    <w:p w:rsidR="00896B96" w:rsidRPr="00D77120" w:rsidRDefault="00896B96" w:rsidP="00FE5F5C">
      <w:pPr>
        <w:pStyle w:val="Cmsor2"/>
        <w:keepLines w:val="0"/>
        <w:numPr>
          <w:ilvl w:val="0"/>
          <w:numId w:val="32"/>
        </w:numPr>
        <w:rPr>
          <w:u w:val="single"/>
        </w:rPr>
      </w:pPr>
      <w:bookmarkStart w:id="36" w:name="_Toc349832290"/>
      <w:r w:rsidRPr="00D77120">
        <w:rPr>
          <w:u w:val="single"/>
        </w:rPr>
        <w:t>A befektetési jegy előállításának módja:</w:t>
      </w:r>
      <w:bookmarkEnd w:id="36"/>
    </w:p>
    <w:p w:rsidR="00896B96" w:rsidRPr="00D77120" w:rsidRDefault="00896B96" w:rsidP="000F63F4">
      <w:pPr>
        <w:spacing w:before="240"/>
        <w:ind w:left="425"/>
      </w:pPr>
      <w:r w:rsidRPr="00D77120">
        <w:t>Dematerializált</w:t>
      </w:r>
    </w:p>
    <w:p w:rsidR="00896B96" w:rsidRPr="00D77120" w:rsidRDefault="00896B96" w:rsidP="00FE5F5C">
      <w:pPr>
        <w:pStyle w:val="Cmsor2"/>
        <w:keepLines w:val="0"/>
        <w:numPr>
          <w:ilvl w:val="0"/>
          <w:numId w:val="32"/>
        </w:numPr>
        <w:rPr>
          <w:u w:val="single"/>
        </w:rPr>
      </w:pPr>
      <w:bookmarkStart w:id="37" w:name="_Toc349832291"/>
      <w:r w:rsidRPr="00D77120">
        <w:rPr>
          <w:u w:val="single"/>
        </w:rPr>
        <w:t>A befektetési jegyre vonatkozó tulajdonjog igazolásának és nyilvántartásának módja:</w:t>
      </w:r>
      <w:bookmarkEnd w:id="37"/>
    </w:p>
    <w:p w:rsidR="00BE6326" w:rsidRPr="00D77120" w:rsidRDefault="00BE6326" w:rsidP="000F63F4">
      <w:pPr>
        <w:spacing w:before="240"/>
        <w:ind w:left="425"/>
        <w:rPr>
          <w:i/>
        </w:rPr>
      </w:pPr>
      <w:r w:rsidRPr="00D77120">
        <w:rPr>
          <w:i/>
        </w:rPr>
        <w:t>A Befektetési Jegyek előállítása</w:t>
      </w:r>
    </w:p>
    <w:p w:rsidR="00BE6326" w:rsidRPr="00D77120" w:rsidRDefault="00BE6326" w:rsidP="000F63F4">
      <w:pPr>
        <w:spacing w:before="120"/>
        <w:ind w:left="425"/>
      </w:pPr>
      <w:r w:rsidRPr="00D77120">
        <w:t>Az Alap Befektetési Jegyei névre szóló</w:t>
      </w:r>
      <w:r w:rsidRPr="00E107F4">
        <w:t xml:space="preserve">, 1 </w:t>
      </w:r>
      <w:r w:rsidR="004D050F" w:rsidRPr="00E107F4">
        <w:t>EUR</w:t>
      </w:r>
      <w:r w:rsidRPr="00E107F4">
        <w:t xml:space="preserve">, azaz egy </w:t>
      </w:r>
      <w:r w:rsidR="004D050F" w:rsidRPr="00E107F4">
        <w:t>euró</w:t>
      </w:r>
      <w:r w:rsidRPr="00E107F4">
        <w:t xml:space="preserve"> névértékű</w:t>
      </w:r>
      <w:r w:rsidRPr="00D77120">
        <w:t xml:space="preserve"> dematerializált értékpapírként kerültek előállításra. A dematerializált értékpapír elektronikus úton rögzített és továbbított, értékpapírszámlán nyilvántartott, az értékpapír valamennyi tartalmi kellékét azonosítható módon tartalmazó adatösszesség. Átruházása kizárólag értékpapír-számlán történő terhelés, illetve jóváírás útján kerülhet sor. Az értékpapír tulajdonosának – az ellenkező bizonyításáig – azt kell tekinteni, akinek számláján az értékpapírt nyilvántartják. A dematerializált Befektetési Jegyek nyomdai úton történő előállítására és fizikai kiadására nincs lehetőség.</w:t>
      </w:r>
    </w:p>
    <w:p w:rsidR="00BE6326" w:rsidRPr="00D77120" w:rsidRDefault="00BE6326" w:rsidP="000F63F4">
      <w:pPr>
        <w:spacing w:before="120"/>
        <w:ind w:left="425"/>
      </w:pPr>
      <w:r w:rsidRPr="00D77120">
        <w:t>A dematerializált értékpapír kibocsátása esetén, ha a tulajdonosnak az értékpapír kiadására vonatkozó követelési joga megnyílt, a kibocsátó (vagy megbízottja) haladéktalanul köteles a központi értéktárat az allokáció eredménye alapján értesíteni az értékpapír-tulajdonos számlavezetőjének személyéről és a központi értékpapírszámlán jóváírandó értékpapír darabszámáról. A kibocsátó (vagy megbízottja) utasítására a központi értéktár a központi értékpapírszámlákat a Tpt. 7. § (2) bekezdése szerinti okirat és a kibocsátó értesítése alapján az értékpapír jóváírásával megnyitja. Az értékpapír-számlavezető – a központi értéktárnak a központi értékpapírszámla megnyitásáról szóló értesítését követően – az abban megjelölt értéknappal, az általa vezetett értékpapírszámlán jóváírja az értékpapírt és erről a számlatulajdonost értesíti.</w:t>
      </w:r>
    </w:p>
    <w:p w:rsidR="00BE6326" w:rsidRPr="00D77120" w:rsidRDefault="00BE6326" w:rsidP="000F63F4">
      <w:pPr>
        <w:spacing w:before="240"/>
        <w:ind w:left="425"/>
        <w:rPr>
          <w:i/>
        </w:rPr>
      </w:pPr>
      <w:bookmarkStart w:id="38" w:name="_Toc3266802"/>
      <w:bookmarkStart w:id="39" w:name="_Toc3266868"/>
      <w:bookmarkStart w:id="40" w:name="_Toc3267083"/>
      <w:r w:rsidRPr="00D77120">
        <w:rPr>
          <w:i/>
        </w:rPr>
        <w:t>Értékpapírszámla vezetés</w:t>
      </w:r>
      <w:bookmarkEnd w:id="38"/>
      <w:bookmarkEnd w:id="39"/>
      <w:bookmarkEnd w:id="40"/>
    </w:p>
    <w:p w:rsidR="00BE6326" w:rsidRDefault="00BE6326" w:rsidP="000F63F4">
      <w:pPr>
        <w:spacing w:before="120"/>
        <w:ind w:left="425"/>
      </w:pPr>
      <w:r w:rsidRPr="00D77120">
        <w:t>Az Alapkezelő a jegyzés tényleges lezárását követő munkanapon értékpapírnak nem minősülő okiratot állít ki a dematerializált értékpapírról, amit a KELER Zrt.-nél helyez el. A KELER Zrt. címe: 1075 Budapest, Asbóth u. 9-11. sz. Ezután a befektetési jegyet az Alapkezelő a KELER Zrt.-nél keletkezteti. A befektetési jegy fizikailag kinyomtatásra nem kerül, így az fizikai formában nem kérhető ki, és annak nyomdai úton történő előállításáról az Alapkezelő később sem rendelkezhet.</w:t>
      </w:r>
    </w:p>
    <w:p w:rsidR="008B28EE" w:rsidRPr="00E261CF" w:rsidRDefault="008B28EE" w:rsidP="008B28EE">
      <w:pPr>
        <w:spacing w:before="120"/>
        <w:ind w:left="425"/>
      </w:pPr>
      <w:r w:rsidRPr="00E261CF">
        <w:t>A Vezető Forgalmazó, illetve a Forgalmazók által folyamatosan forgalmazott dematerializált Befektetési Jegyeket az Alapkezelő (vagy megbízottja) kezdeményezésére és megbízása alapján a KELER Zrt. naponta keletkezteti, illetve törli az Alapkezelő KELER Zrt</w:t>
      </w:r>
      <w:r>
        <w:t>.</w:t>
      </w:r>
      <w:r w:rsidRPr="00E261CF">
        <w:t>-nél vezetett számláján. A Befektetési Jegyek eladása esetén az Alapkezelő (vagy megbízottja) a keletkeztetést követően az értékpapír-számlavezető számlájára transzferálja a dematerializált értékpapírokat, aki ezt követően az általa vezetett értékpapírszámlán jóváírja az értékpapírt és erről a számlatulajdonost értesíti. A Befektetési Jegyek visszaváltása esetén az értékpapír-számlavezető az Alapkezelő KELER Zrt</w:t>
      </w:r>
      <w:r>
        <w:t>.</w:t>
      </w:r>
      <w:r w:rsidRPr="00E261CF">
        <w:t xml:space="preserve">-nél vezetett számlájára transzferálja a visszaváltott értékpapírt és a számla megterheléséről a számlatulajdonos értesíti. A KELER Zrt. ezt követően az Alapkezelő (vagy megbízottja) kezdeményezésére törli az értékpapírt. </w:t>
      </w:r>
    </w:p>
    <w:p w:rsidR="008B28EE" w:rsidRPr="00D77120" w:rsidRDefault="008B28EE" w:rsidP="008B28EE">
      <w:pPr>
        <w:spacing w:before="120"/>
        <w:ind w:left="425"/>
      </w:pPr>
      <w:r w:rsidRPr="00E261CF">
        <w:t xml:space="preserve">A befektetők értékpapírszámláit az erre engedéllyel rendelkező befektetési </w:t>
      </w:r>
      <w:proofErr w:type="gramStart"/>
      <w:r w:rsidRPr="00E261CF">
        <w:t>szolgáltató(</w:t>
      </w:r>
      <w:proofErr w:type="gramEnd"/>
      <w:r w:rsidRPr="00E261CF">
        <w:t>k), illetve bank(ok) vezeti(k), melyről a közöttük és az ügyfelek között fennálló értékpapír-számlaszerződés feltételeinek megfelelően a befektetők kivonatot kapnak. Az értékpapírszámláról kiállított számlakivonat igazolja az értékpapír tulajdonjogát harmadik személyek felé a kiállítás időpontjára vonatkozóan. A számlakivonat nem ruházható át és nem lehet engedményezés tárgya.</w:t>
      </w:r>
    </w:p>
    <w:p w:rsidR="00896B96" w:rsidRPr="00D77120" w:rsidRDefault="00896B96" w:rsidP="00FE5F5C">
      <w:pPr>
        <w:pStyle w:val="Cmsor2"/>
        <w:keepLines w:val="0"/>
        <w:numPr>
          <w:ilvl w:val="0"/>
          <w:numId w:val="32"/>
        </w:numPr>
        <w:rPr>
          <w:u w:val="single"/>
        </w:rPr>
      </w:pPr>
      <w:bookmarkStart w:id="41" w:name="_Toc349832292"/>
      <w:r w:rsidRPr="00D77120">
        <w:rPr>
          <w:u w:val="single"/>
        </w:rPr>
        <w:t>A befektetőnek a befektetési jegy által biztosított jogai:</w:t>
      </w:r>
      <w:bookmarkEnd w:id="41"/>
      <w:r w:rsidRPr="00D77120">
        <w:rPr>
          <w:u w:val="single"/>
        </w:rPr>
        <w:t xml:space="preserve"> </w:t>
      </w:r>
    </w:p>
    <w:p w:rsidR="00896B96" w:rsidRPr="00D77120" w:rsidRDefault="00896B96" w:rsidP="000F63F4">
      <w:pPr>
        <w:spacing w:before="240"/>
        <w:ind w:left="425"/>
      </w:pPr>
      <w:r w:rsidRPr="00D77120">
        <w:t>A Befektetési Jegyek minden tulajdonosa:</w:t>
      </w:r>
    </w:p>
    <w:p w:rsidR="00896B96" w:rsidRPr="00D77120" w:rsidRDefault="00450537" w:rsidP="00450537">
      <w:pPr>
        <w:pStyle w:val="Listaszerbekezds"/>
        <w:numPr>
          <w:ilvl w:val="0"/>
          <w:numId w:val="41"/>
        </w:numPr>
        <w:spacing w:before="120"/>
      </w:pPr>
      <w:r w:rsidRPr="00450537">
        <w:lastRenderedPageBreak/>
        <w:t>jogosult arra, hogy az Kezelési Szabályzatban meghatározottak szerint – a Forgalmazó pénztári óráiban - visszaváltsa a Befektetési Jegyeket vagy azok egy részét, a visszaváltási jutalékkal csökkentett egy jegyre jutó nettó eszközértéken</w:t>
      </w:r>
      <w:r>
        <w:t>,</w:t>
      </w:r>
    </w:p>
    <w:p w:rsidR="00896B96" w:rsidRPr="00D77120" w:rsidRDefault="00896B96" w:rsidP="000F63F4">
      <w:pPr>
        <w:pStyle w:val="Listaszerbekezds"/>
        <w:numPr>
          <w:ilvl w:val="0"/>
          <w:numId w:val="41"/>
        </w:numPr>
        <w:spacing w:before="120"/>
      </w:pPr>
      <w:r w:rsidRPr="00D77120">
        <w:t>jogosult arra, hogy az Alap megszűnése esetén az Alap végelszámolását követően fennmaradó vagyonából a tulajdonában lévő Befektetési Jegyek névértékének az összes kibocsátott Befektetési Jegy névértékéhez viszonyított arányának megfelelően részesedjen,</w:t>
      </w:r>
    </w:p>
    <w:p w:rsidR="00896B96" w:rsidRDefault="00896B96" w:rsidP="000F63F4">
      <w:pPr>
        <w:pStyle w:val="Listaszerbekezds"/>
        <w:numPr>
          <w:ilvl w:val="0"/>
          <w:numId w:val="41"/>
        </w:numPr>
        <w:spacing w:before="120"/>
      </w:pPr>
      <w:r w:rsidRPr="00D77120">
        <w:t xml:space="preserve">kérésére ingyenesen a rendelkezésére kell bocsátani </w:t>
      </w:r>
      <w:r w:rsidR="00450537">
        <w:t>a</w:t>
      </w:r>
      <w:r w:rsidRPr="00D77120">
        <w:t xml:space="preserve"> Tájékoztatót, a Kezelési Szabályzatot, az Alap féléves és éves jelentését (</w:t>
      </w:r>
      <w:proofErr w:type="gramStart"/>
      <w:r w:rsidRPr="00D77120">
        <w:t>ezen</w:t>
      </w:r>
      <w:proofErr w:type="gramEnd"/>
      <w:r w:rsidRPr="00D77120">
        <w:t xml:space="preserve"> dokumentumok a Befektetési Jegy tulajdonosok rendelkezésére állnak a közzétételi helyeken)</w:t>
      </w:r>
    </w:p>
    <w:p w:rsidR="00450537" w:rsidRPr="003510F1" w:rsidRDefault="00450537" w:rsidP="00450537">
      <w:pPr>
        <w:numPr>
          <w:ilvl w:val="0"/>
          <w:numId w:val="41"/>
        </w:numPr>
      </w:pPr>
      <w:r w:rsidRPr="00776728">
        <w:t>a nyílt végű befektetési alapra</w:t>
      </w:r>
      <w:r w:rsidRPr="00D5456C">
        <w:t xml:space="preserve"> </w:t>
      </w:r>
      <w:r w:rsidRPr="00776728">
        <w:t xml:space="preserve">kibocsátott befektetési jegynek az adott befektető számára első alkalommal történő értékesítésekor az alap kezelési szabályzatát a </w:t>
      </w:r>
      <w:r>
        <w:t>Befektető</w:t>
      </w:r>
      <w:r w:rsidRPr="00776728">
        <w:t>nek térítésmentesen át kell adni,</w:t>
      </w:r>
      <w:r>
        <w:t xml:space="preserve"> </w:t>
      </w:r>
      <w:r w:rsidRPr="003510F1">
        <w:t>az alap tájékoztatóját, a legutóbbi éves és féléves jelentését a befektető kérésére térítésmentesen rendelkezésre kell bocsátani. A befektető külön nyilatkozatot tesz</w:t>
      </w:r>
    </w:p>
    <w:p w:rsidR="00450537" w:rsidRPr="003510F1" w:rsidRDefault="00450537" w:rsidP="00450537">
      <w:pPr>
        <w:numPr>
          <w:ilvl w:val="1"/>
          <w:numId w:val="41"/>
        </w:numPr>
      </w:pPr>
      <w:r w:rsidRPr="003510F1">
        <w:t>a fenti dokumentumok átvételére vonatkozóan, vagy</w:t>
      </w:r>
    </w:p>
    <w:p w:rsidR="00450537" w:rsidRPr="003510F1" w:rsidRDefault="00450537" w:rsidP="00450537">
      <w:pPr>
        <w:numPr>
          <w:ilvl w:val="1"/>
          <w:numId w:val="41"/>
        </w:numPr>
      </w:pPr>
      <w:r w:rsidRPr="003510F1">
        <w:t>arról, hogy a fenti dokumentumok részére történő átadásáról lemond, vagy</w:t>
      </w:r>
    </w:p>
    <w:p w:rsidR="00450537" w:rsidRPr="00D77120" w:rsidRDefault="00450537" w:rsidP="00450537">
      <w:pPr>
        <w:numPr>
          <w:ilvl w:val="1"/>
          <w:numId w:val="41"/>
        </w:numPr>
      </w:pPr>
      <w:r w:rsidRPr="003510F1">
        <w:t>arról, hogy a dokumentumok átadását elektronikus úton kéri.</w:t>
      </w:r>
    </w:p>
    <w:p w:rsidR="00896B96" w:rsidRPr="00D77120" w:rsidRDefault="00896B96" w:rsidP="000F63F4">
      <w:pPr>
        <w:pStyle w:val="Listaszerbekezds"/>
        <w:numPr>
          <w:ilvl w:val="0"/>
          <w:numId w:val="41"/>
        </w:numPr>
        <w:spacing w:before="120"/>
      </w:pPr>
      <w:r w:rsidRPr="00D77120">
        <w:t>jogosult rendkívüli tájékoztatásra,</w:t>
      </w:r>
    </w:p>
    <w:p w:rsidR="00896B96" w:rsidRPr="00D77120" w:rsidRDefault="00896B96" w:rsidP="00840102">
      <w:pPr>
        <w:pStyle w:val="Listaszerbekezds"/>
        <w:numPr>
          <w:ilvl w:val="0"/>
          <w:numId w:val="41"/>
        </w:numPr>
        <w:spacing w:before="120"/>
      </w:pPr>
      <w:r w:rsidRPr="00D77120">
        <w:t xml:space="preserve">jogosult </w:t>
      </w:r>
      <w:r w:rsidR="00DE6E1D">
        <w:t>a</w:t>
      </w:r>
      <w:r w:rsidR="00840102">
        <w:t xml:space="preserve"> </w:t>
      </w:r>
      <w:r w:rsidR="00840102" w:rsidRPr="00840102">
        <w:t xml:space="preserve">jogszabályban, illetve a Kezelési Szabályzatban </w:t>
      </w:r>
      <w:r w:rsidRPr="00D77120">
        <w:t>meghatározott egyéb jogok gyakorlására.</w:t>
      </w:r>
    </w:p>
    <w:p w:rsidR="00896B96" w:rsidRDefault="00896B96" w:rsidP="00FE5F5C">
      <w:pPr>
        <w:pStyle w:val="Cmsor2"/>
        <w:keepLines w:val="0"/>
        <w:numPr>
          <w:ilvl w:val="0"/>
          <w:numId w:val="32"/>
        </w:numPr>
        <w:rPr>
          <w:u w:val="single"/>
        </w:rPr>
      </w:pPr>
      <w:bookmarkStart w:id="42" w:name="_Toc349832293"/>
      <w:r w:rsidRPr="00D77120">
        <w:rPr>
          <w:u w:val="single"/>
        </w:rPr>
        <w:t>A befektetési jegyre vonatkozó egyéb információk</w:t>
      </w:r>
      <w:r w:rsidR="00BE6326" w:rsidRPr="00D77120">
        <w:rPr>
          <w:u w:val="single"/>
        </w:rPr>
        <w:t>:</w:t>
      </w:r>
      <w:bookmarkEnd w:id="42"/>
    </w:p>
    <w:p w:rsidR="00840102" w:rsidRPr="00840102" w:rsidRDefault="00840102" w:rsidP="00840102">
      <w:pPr>
        <w:spacing w:before="240"/>
        <w:ind w:left="425"/>
      </w:pPr>
      <w:r>
        <w:t>Nincs információ.</w:t>
      </w:r>
    </w:p>
    <w:p w:rsidR="007E0F55" w:rsidRPr="006A40E9" w:rsidRDefault="007E0F55">
      <w:pPr>
        <w:keepLines w:val="0"/>
        <w:spacing w:after="0"/>
        <w:jc w:val="left"/>
        <w:rPr>
          <w:b/>
          <w:caps/>
          <w:kern w:val="28"/>
          <w:sz w:val="20"/>
          <w:szCs w:val="20"/>
        </w:rPr>
      </w:pPr>
      <w:r w:rsidRPr="006A40E9">
        <w:rPr>
          <w:sz w:val="20"/>
          <w:szCs w:val="20"/>
        </w:rPr>
        <w:br w:type="page"/>
      </w:r>
    </w:p>
    <w:p w:rsidR="00896B96" w:rsidRPr="002E6CC3" w:rsidRDefault="00896B96" w:rsidP="00896B96">
      <w:pPr>
        <w:pStyle w:val="Cmsor1"/>
        <w:keepLines w:val="0"/>
        <w:numPr>
          <w:ilvl w:val="0"/>
          <w:numId w:val="31"/>
        </w:numPr>
        <w:rPr>
          <w:rFonts w:ascii="Verdana" w:hAnsi="Verdana"/>
        </w:rPr>
      </w:pPr>
      <w:bookmarkStart w:id="43" w:name="_Toc349832294"/>
      <w:r w:rsidRPr="002E6CC3">
        <w:rPr>
          <w:rFonts w:ascii="Verdana" w:hAnsi="Verdana"/>
        </w:rPr>
        <w:lastRenderedPageBreak/>
        <w:t xml:space="preserve">A befektetési </w:t>
      </w:r>
      <w:r>
        <w:rPr>
          <w:rFonts w:ascii="Verdana" w:hAnsi="Verdana"/>
        </w:rPr>
        <w:t xml:space="preserve">alap befektetési politikája </w:t>
      </w:r>
      <w:proofErr w:type="gramStart"/>
      <w:r>
        <w:rPr>
          <w:rFonts w:ascii="Verdana" w:hAnsi="Verdana"/>
        </w:rPr>
        <w:t>és</w:t>
      </w:r>
      <w:proofErr w:type="gramEnd"/>
      <w:r>
        <w:rPr>
          <w:rFonts w:ascii="Verdana" w:hAnsi="Verdana"/>
        </w:rPr>
        <w:t xml:space="preserve"> céljai</w:t>
      </w:r>
      <w:bookmarkEnd w:id="43"/>
    </w:p>
    <w:p w:rsidR="00896B96" w:rsidRPr="00D77120" w:rsidRDefault="00896B96" w:rsidP="00840102">
      <w:pPr>
        <w:pStyle w:val="Cmsor2"/>
        <w:keepLines w:val="0"/>
        <w:numPr>
          <w:ilvl w:val="0"/>
          <w:numId w:val="32"/>
        </w:numPr>
        <w:rPr>
          <w:u w:val="single"/>
        </w:rPr>
      </w:pPr>
      <w:bookmarkStart w:id="44" w:name="_Toc349832295"/>
      <w:r w:rsidRPr="00D77120">
        <w:rPr>
          <w:u w:val="single"/>
        </w:rPr>
        <w:t xml:space="preserve">A befektetési alap befektetési </w:t>
      </w:r>
      <w:r w:rsidR="00840102" w:rsidRPr="00840102">
        <w:rPr>
          <w:u w:val="single"/>
        </w:rPr>
        <w:t>céljainak, specializációjának leírása, feltüntetve a pénzügyi célokat is (pl.: tőkenövekedés vagy jövedelem, földrajzi vagy iparági specifikáció)</w:t>
      </w:r>
      <w:r w:rsidRPr="00D77120">
        <w:rPr>
          <w:u w:val="single"/>
        </w:rPr>
        <w:t>:</w:t>
      </w:r>
      <w:bookmarkEnd w:id="44"/>
    </w:p>
    <w:p w:rsidR="00896B96" w:rsidRPr="00D77120" w:rsidRDefault="00384108" w:rsidP="000F63F4">
      <w:pPr>
        <w:spacing w:before="240"/>
        <w:ind w:left="425"/>
      </w:pPr>
      <w:r w:rsidRPr="002E29FF">
        <w:t>Az Alap célja euróban az állampapírok által biztosított hozamnál nagyobb hozam elérése addicionális kockázat vállalása mellett.</w:t>
      </w:r>
    </w:p>
    <w:p w:rsidR="00896B96" w:rsidRPr="00D77120" w:rsidRDefault="00896B96" w:rsidP="00FE5F5C">
      <w:pPr>
        <w:pStyle w:val="Cmsor2"/>
        <w:keepLines w:val="0"/>
        <w:numPr>
          <w:ilvl w:val="0"/>
          <w:numId w:val="32"/>
        </w:numPr>
        <w:rPr>
          <w:u w:val="single"/>
        </w:rPr>
      </w:pPr>
      <w:bookmarkStart w:id="45" w:name="_Toc349832296"/>
      <w:r w:rsidRPr="00D77120">
        <w:rPr>
          <w:u w:val="single"/>
        </w:rPr>
        <w:t>Befektetési stratégia, a befektetési alap céljai megvalósításának eszközei:</w:t>
      </w:r>
      <w:bookmarkEnd w:id="45"/>
    </w:p>
    <w:p w:rsidR="00072B3A" w:rsidRDefault="00072B3A" w:rsidP="00072B3A">
      <w:pPr>
        <w:spacing w:before="240"/>
        <w:ind w:left="425"/>
      </w:pPr>
      <w:r w:rsidRPr="00E37094">
        <w:t xml:space="preserve">Az Alap célja </w:t>
      </w:r>
      <w:r w:rsidR="007E2CB9" w:rsidRPr="00E37094">
        <w:t xml:space="preserve">euróban </w:t>
      </w:r>
      <w:r w:rsidRPr="00E37094">
        <w:t xml:space="preserve">az állampapírok által biztosított hozamnál nagyobb hozam elérése addicionális kockázat vállalása mellett. A többlethozam elérésének érdekében az Alapkezelő törekszik arra, hogy az Alapba </w:t>
      </w:r>
      <w:r w:rsidR="00E37094" w:rsidRPr="00E37094">
        <w:t>euróban</w:t>
      </w:r>
      <w:r w:rsidR="002E29FF" w:rsidRPr="00E37094">
        <w:t xml:space="preserve">, vagy </w:t>
      </w:r>
      <w:r w:rsidR="00E37094" w:rsidRPr="00E37094">
        <w:t>forintban</w:t>
      </w:r>
      <w:r w:rsidR="002E29FF" w:rsidRPr="00E37094">
        <w:t xml:space="preserve"> denominált befektetési alapokat</w:t>
      </w:r>
      <w:r w:rsidR="00E37094" w:rsidRPr="00E37094">
        <w:t xml:space="preserve"> (többek között Concorde Columbus Globális Értékalapú Származtatott Befektetési Alap, a Concorde-VM Abszolút Származtatott Befektetési Alap, a Citadella Származtatott Befektetési Alap és a Platina Pí Származtatott Befektetési Alap)</w:t>
      </w:r>
      <w:r w:rsidR="002E29FF" w:rsidRPr="00E37094">
        <w:t xml:space="preserve"> vagy más kollektív befektetési értékpapírokat vegyen, </w:t>
      </w:r>
      <w:r w:rsidR="00E37094" w:rsidRPr="00E37094">
        <w:t>és a devizakitettséget euróra fedezze.</w:t>
      </w:r>
    </w:p>
    <w:p w:rsidR="00896B96" w:rsidRDefault="002E29FF" w:rsidP="00072B3A">
      <w:pPr>
        <w:spacing w:before="240"/>
        <w:ind w:left="425"/>
      </w:pPr>
      <w:r>
        <w:t>A</w:t>
      </w:r>
      <w:r w:rsidR="00072B3A">
        <w:t xml:space="preserve"> vásárolt alapok potenciális befektetési területe a lehető legszélesebb és globális: hazai és nemzetközi részvények illetve kötvények, bankbetétek, devizák, egyéb befektetési eszközök, valamint ezekre és árupiaci termékekre vonatkozó származtatott ügyletek. A hagyományos befektetési alapoktól a széles eszköztáron túl abban térnek el, hogy nem csak emelkedő, de – akár short pozíciók felvételével – eső piacon is van lehetőségük hozamot elérni.</w:t>
      </w:r>
    </w:p>
    <w:p w:rsidR="00072B3A" w:rsidRPr="00072B3A" w:rsidRDefault="00072B3A" w:rsidP="00072B3A">
      <w:pPr>
        <w:spacing w:before="240"/>
        <w:ind w:left="425"/>
        <w:rPr>
          <w:i/>
        </w:rPr>
      </w:pPr>
      <w:r w:rsidRPr="00072B3A">
        <w:rPr>
          <w:i/>
        </w:rPr>
        <w:t>Referenciahozam (benchmark)</w:t>
      </w:r>
    </w:p>
    <w:p w:rsidR="00072B3A" w:rsidRPr="00D77120" w:rsidRDefault="00C50ED6" w:rsidP="00C50ED6">
      <w:pPr>
        <w:spacing w:before="240"/>
        <w:ind w:left="425"/>
      </w:pPr>
      <w:r>
        <w:t>Az Alap indulásától az első üzleti éve végéig, azt követően pedig minden év elejétől az adott év végéig az indulás, illetve az év első napján a Bloomberg által publikált egyéves német eurós állampapír (záró) (referencia)</w:t>
      </w:r>
      <w:r w:rsidR="00225EA4">
        <w:t xml:space="preserve"> </w:t>
      </w:r>
      <w:r>
        <w:t>hozam (GDBR1 Index)</w:t>
      </w:r>
      <w:r w:rsidR="00384108">
        <w:t>.</w:t>
      </w:r>
    </w:p>
    <w:p w:rsidR="006C671B" w:rsidRPr="00D77120" w:rsidRDefault="006C671B" w:rsidP="00FE5F5C">
      <w:pPr>
        <w:pStyle w:val="Cmsor2"/>
        <w:keepLines w:val="0"/>
        <w:numPr>
          <w:ilvl w:val="0"/>
          <w:numId w:val="32"/>
        </w:numPr>
        <w:rPr>
          <w:u w:val="single"/>
        </w:rPr>
      </w:pPr>
      <w:bookmarkStart w:id="46" w:name="_Toc349832297"/>
      <w:r w:rsidRPr="00D77120">
        <w:rPr>
          <w:u w:val="single"/>
        </w:rPr>
        <w:t>Az Alap portfóliójának lehetséges elemei:</w:t>
      </w:r>
      <w:bookmarkEnd w:id="46"/>
    </w:p>
    <w:p w:rsidR="00D8093A" w:rsidRDefault="00D8093A" w:rsidP="000F63F4">
      <w:pPr>
        <w:spacing w:before="240"/>
        <w:ind w:left="425"/>
      </w:pPr>
      <w:r w:rsidRPr="00072B3A">
        <w:t>Az Alap potenciális befektetési területe a lehető legszélesebb és globális: legnagyobb részt (legalább 80 százalékban) kollektív befektetési értékpapírok, emellett kisebb súllyal bankbetétek, hazai és nemzetközi részvények illetve kötvények, devizák, egyéb befektetési eszközök, valamint ezekre vonatkozó származtatott ügyletek.</w:t>
      </w:r>
    </w:p>
    <w:p w:rsidR="006C671B" w:rsidRPr="00D77120" w:rsidRDefault="00072B3A" w:rsidP="000F63F4">
      <w:pPr>
        <w:spacing w:before="240"/>
        <w:ind w:left="425"/>
      </w:pPr>
      <w:r w:rsidRPr="00072B3A">
        <w:t xml:space="preserve">Az Alapkezelő az Alap eszközeit a nettó eszközérték 20%-át meghaladó mértékben a </w:t>
      </w:r>
      <w:r w:rsidRPr="009A494F">
        <w:t xml:space="preserve">Concorde Columbus </w:t>
      </w:r>
      <w:r w:rsidR="009A494F">
        <w:t xml:space="preserve">Globális Értékalapú </w:t>
      </w:r>
      <w:r w:rsidRPr="009A494F">
        <w:t xml:space="preserve">Származtatott Befektetési Alap, a Concorde-VM </w:t>
      </w:r>
      <w:r w:rsidR="009A494F">
        <w:t xml:space="preserve">Abszolút </w:t>
      </w:r>
      <w:r w:rsidRPr="009A494F">
        <w:t>Származtatott Befektetési Alap, a Citadella Származtatott Befektetési Alap, a Platina Pí Származtatott Befektetési Alap</w:t>
      </w:r>
      <w:r w:rsidR="009A494F" w:rsidRPr="009A494F">
        <w:t>,</w:t>
      </w:r>
      <w:r w:rsidRPr="009A494F">
        <w:t xml:space="preserve"> a Platina Delta Származtatott Befektetési Alap </w:t>
      </w:r>
      <w:r w:rsidR="009A494F" w:rsidRPr="009A494F">
        <w:t xml:space="preserve">és a Concorde Pénzpiaci Befektetési Alap </w:t>
      </w:r>
      <w:r w:rsidRPr="009A494F">
        <w:t>Befektetési Jegyeibe fektetheti.</w:t>
      </w:r>
    </w:p>
    <w:p w:rsidR="006C671B" w:rsidRPr="00D77120" w:rsidRDefault="006C671B" w:rsidP="00955E41">
      <w:pPr>
        <w:pStyle w:val="Cmsor2"/>
        <w:keepLines w:val="0"/>
        <w:numPr>
          <w:ilvl w:val="0"/>
          <w:numId w:val="32"/>
        </w:numPr>
        <w:rPr>
          <w:u w:val="single"/>
        </w:rPr>
      </w:pPr>
      <w:bookmarkStart w:id="47" w:name="_Toc349832298"/>
      <w:r w:rsidRPr="00D77120">
        <w:rPr>
          <w:u w:val="single"/>
        </w:rPr>
        <w:t xml:space="preserve">Az egyes portfólióelemek </w:t>
      </w:r>
      <w:r w:rsidR="00955E41" w:rsidRPr="00D77120">
        <w:rPr>
          <w:u w:val="single"/>
        </w:rPr>
        <w:t xml:space="preserve">maximális </w:t>
      </w:r>
      <w:r w:rsidR="00955E41">
        <w:rPr>
          <w:u w:val="single"/>
        </w:rPr>
        <w:t xml:space="preserve">illetve </w:t>
      </w:r>
      <w:r w:rsidRPr="00D77120">
        <w:rPr>
          <w:u w:val="single"/>
        </w:rPr>
        <w:t xml:space="preserve">minimális </w:t>
      </w:r>
      <w:r w:rsidR="00955E41" w:rsidRPr="00955E41">
        <w:rPr>
          <w:u w:val="single"/>
        </w:rPr>
        <w:t xml:space="preserve">vagy tervezett </w:t>
      </w:r>
      <w:r w:rsidRPr="00D77120">
        <w:rPr>
          <w:u w:val="single"/>
        </w:rPr>
        <w:t>aránya:</w:t>
      </w:r>
      <w:bookmarkEnd w:id="47"/>
    </w:p>
    <w:p w:rsidR="006C671B" w:rsidRPr="002E29FF" w:rsidRDefault="006C671B" w:rsidP="006A40E9">
      <w:pPr>
        <w:tabs>
          <w:tab w:val="center" w:pos="5670"/>
          <w:tab w:val="center" w:pos="8080"/>
        </w:tabs>
        <w:spacing w:before="120"/>
        <w:ind w:left="425"/>
      </w:pPr>
      <w:r w:rsidRPr="002E29FF">
        <w:t>Eszközkategória</w:t>
      </w:r>
      <w:r w:rsidRPr="002E29FF">
        <w:tab/>
        <w:t>minimális részarány</w:t>
      </w:r>
      <w:r w:rsidRPr="002E29FF">
        <w:tab/>
        <w:t>maximális részarány</w:t>
      </w:r>
    </w:p>
    <w:p w:rsidR="00072B3A" w:rsidRPr="002E29FF" w:rsidRDefault="00072B3A" w:rsidP="00072B3A">
      <w:pPr>
        <w:tabs>
          <w:tab w:val="center" w:pos="5670"/>
          <w:tab w:val="center" w:pos="8080"/>
        </w:tabs>
        <w:spacing w:before="120"/>
        <w:ind w:left="425"/>
      </w:pPr>
      <w:r w:rsidRPr="002E29FF">
        <w:t>Likvid eszközök (azonnali fizetőképességhez):</w:t>
      </w:r>
      <w:r w:rsidRPr="002E29FF">
        <w:tab/>
        <w:t>0%</w:t>
      </w:r>
      <w:r w:rsidRPr="002E29FF">
        <w:tab/>
        <w:t>20%</w:t>
      </w:r>
    </w:p>
    <w:p w:rsidR="00072B3A" w:rsidRPr="002E29FF" w:rsidRDefault="00072B3A" w:rsidP="00072B3A">
      <w:pPr>
        <w:tabs>
          <w:tab w:val="center" w:pos="5670"/>
          <w:tab w:val="center" w:pos="8080"/>
        </w:tabs>
        <w:spacing w:before="120"/>
        <w:ind w:left="425"/>
      </w:pPr>
      <w:r w:rsidRPr="002E29FF">
        <w:t>Diszkontkincstárjegyek és magyar államkötvények:</w:t>
      </w:r>
      <w:r w:rsidRPr="002E29FF">
        <w:tab/>
        <w:t>0%</w:t>
      </w:r>
      <w:r w:rsidRPr="002E29FF">
        <w:tab/>
        <w:t>20%</w:t>
      </w:r>
    </w:p>
    <w:p w:rsidR="00072B3A" w:rsidRPr="002E29FF" w:rsidRDefault="00072B3A" w:rsidP="00072B3A">
      <w:pPr>
        <w:tabs>
          <w:tab w:val="center" w:pos="5670"/>
          <w:tab w:val="center" w:pos="8080"/>
        </w:tabs>
        <w:spacing w:before="120"/>
        <w:ind w:left="425"/>
      </w:pPr>
      <w:r w:rsidRPr="002E29FF">
        <w:t>Hazai kibocsátású vállalati kötvények:</w:t>
      </w:r>
      <w:r w:rsidRPr="002E29FF">
        <w:tab/>
        <w:t>0%</w:t>
      </w:r>
      <w:r w:rsidRPr="002E29FF">
        <w:tab/>
        <w:t>20%</w:t>
      </w:r>
    </w:p>
    <w:p w:rsidR="00072B3A" w:rsidRPr="002E29FF" w:rsidRDefault="00072B3A" w:rsidP="00072B3A">
      <w:pPr>
        <w:tabs>
          <w:tab w:val="center" w:pos="5670"/>
          <w:tab w:val="center" w:pos="8080"/>
        </w:tabs>
        <w:spacing w:before="120"/>
        <w:ind w:left="425"/>
      </w:pPr>
      <w:r w:rsidRPr="002E29FF">
        <w:t>Hazai kibocsátású egyéb kötvények:</w:t>
      </w:r>
      <w:r w:rsidRPr="002E29FF">
        <w:tab/>
        <w:t>0%</w:t>
      </w:r>
      <w:r w:rsidRPr="002E29FF">
        <w:tab/>
        <w:t>20%</w:t>
      </w:r>
    </w:p>
    <w:p w:rsidR="00072B3A" w:rsidRPr="002E29FF" w:rsidRDefault="00072B3A" w:rsidP="00072B3A">
      <w:pPr>
        <w:tabs>
          <w:tab w:val="center" w:pos="5670"/>
          <w:tab w:val="center" w:pos="8080"/>
        </w:tabs>
        <w:spacing w:before="120"/>
        <w:ind w:left="425"/>
      </w:pPr>
      <w:r w:rsidRPr="002E29FF">
        <w:t>Hazai kibocsátású jelzáloglevelek:</w:t>
      </w:r>
      <w:r w:rsidRPr="002E29FF">
        <w:tab/>
        <w:t>0%</w:t>
      </w:r>
      <w:r w:rsidRPr="002E29FF">
        <w:tab/>
        <w:t>20%</w:t>
      </w:r>
    </w:p>
    <w:p w:rsidR="00072B3A" w:rsidRPr="002E29FF" w:rsidRDefault="00072B3A" w:rsidP="00072B3A">
      <w:pPr>
        <w:tabs>
          <w:tab w:val="center" w:pos="5670"/>
          <w:tab w:val="center" w:pos="8080"/>
        </w:tabs>
        <w:spacing w:before="120"/>
        <w:ind w:left="425"/>
      </w:pPr>
      <w:r w:rsidRPr="002E29FF">
        <w:t xml:space="preserve">Nyilvános nyíltvégű kollektív befektetési </w:t>
      </w:r>
    </w:p>
    <w:p w:rsidR="00072B3A" w:rsidRPr="002E29FF" w:rsidRDefault="00072B3A" w:rsidP="00072B3A">
      <w:pPr>
        <w:tabs>
          <w:tab w:val="center" w:pos="5670"/>
          <w:tab w:val="center" w:pos="8080"/>
        </w:tabs>
        <w:spacing w:before="120"/>
        <w:ind w:left="425"/>
      </w:pPr>
      <w:proofErr w:type="gramStart"/>
      <w:r w:rsidRPr="002E29FF">
        <w:t>értékpapírok</w:t>
      </w:r>
      <w:proofErr w:type="gramEnd"/>
      <w:r w:rsidRPr="002E29FF">
        <w:t xml:space="preserve"> </w:t>
      </w:r>
      <w:r w:rsidRPr="002E29FF">
        <w:tab/>
        <w:t>80%</w:t>
      </w:r>
      <w:r w:rsidRPr="002E29FF">
        <w:tab/>
        <w:t>100%</w:t>
      </w:r>
    </w:p>
    <w:p w:rsidR="00072B3A" w:rsidRPr="002E29FF" w:rsidRDefault="00072B3A" w:rsidP="00072B3A">
      <w:pPr>
        <w:tabs>
          <w:tab w:val="center" w:pos="5670"/>
          <w:tab w:val="center" w:pos="8080"/>
        </w:tabs>
        <w:spacing w:before="120"/>
        <w:ind w:left="425"/>
      </w:pPr>
      <w:r w:rsidRPr="002E29FF">
        <w:t>Nem nyilvános vagy zárt végű kollektív</w:t>
      </w:r>
    </w:p>
    <w:p w:rsidR="00072B3A" w:rsidRPr="002E29FF" w:rsidRDefault="00072B3A" w:rsidP="00072B3A">
      <w:pPr>
        <w:tabs>
          <w:tab w:val="center" w:pos="5670"/>
          <w:tab w:val="center" w:pos="8080"/>
        </w:tabs>
        <w:spacing w:before="120"/>
        <w:ind w:left="425"/>
      </w:pPr>
      <w:proofErr w:type="gramStart"/>
      <w:r w:rsidRPr="002E29FF">
        <w:t>befektetési</w:t>
      </w:r>
      <w:proofErr w:type="gramEnd"/>
      <w:r w:rsidRPr="002E29FF">
        <w:t xml:space="preserve"> értékpapírok:</w:t>
      </w:r>
      <w:r w:rsidRPr="002E29FF">
        <w:tab/>
        <w:t>0%</w:t>
      </w:r>
      <w:r w:rsidRPr="002E29FF">
        <w:tab/>
        <w:t>5%</w:t>
      </w:r>
    </w:p>
    <w:p w:rsidR="00072B3A" w:rsidRPr="002E29FF" w:rsidRDefault="00072B3A" w:rsidP="00072B3A">
      <w:pPr>
        <w:tabs>
          <w:tab w:val="center" w:pos="5670"/>
          <w:tab w:val="center" w:pos="8080"/>
        </w:tabs>
        <w:spacing w:before="120"/>
        <w:ind w:left="425"/>
      </w:pPr>
      <w:r w:rsidRPr="002E29FF">
        <w:t>A BÉT-re bevezetett részvények:</w:t>
      </w:r>
      <w:r w:rsidRPr="002E29FF">
        <w:tab/>
        <w:t>0%</w:t>
      </w:r>
      <w:r w:rsidRPr="002E29FF">
        <w:tab/>
        <w:t>20%</w:t>
      </w:r>
    </w:p>
    <w:p w:rsidR="00072B3A" w:rsidRPr="002E29FF" w:rsidRDefault="00072B3A" w:rsidP="00072B3A">
      <w:pPr>
        <w:tabs>
          <w:tab w:val="center" w:pos="5670"/>
          <w:tab w:val="center" w:pos="8080"/>
        </w:tabs>
        <w:spacing w:before="120"/>
        <w:ind w:left="425"/>
      </w:pPr>
      <w:r w:rsidRPr="002E29FF">
        <w:t>Nem árfolyamkockázat csökkentésére kötött</w:t>
      </w:r>
    </w:p>
    <w:p w:rsidR="00072B3A" w:rsidRPr="002E29FF" w:rsidRDefault="00072B3A" w:rsidP="00072B3A">
      <w:pPr>
        <w:tabs>
          <w:tab w:val="center" w:pos="5670"/>
          <w:tab w:val="center" w:pos="8080"/>
        </w:tabs>
        <w:spacing w:before="120"/>
        <w:ind w:left="425"/>
      </w:pPr>
      <w:proofErr w:type="gramStart"/>
      <w:r w:rsidRPr="002E29FF">
        <w:t>származtatott</w:t>
      </w:r>
      <w:proofErr w:type="gramEnd"/>
      <w:r w:rsidRPr="002E29FF">
        <w:t xml:space="preserve"> ügyletek:</w:t>
      </w:r>
      <w:r w:rsidRPr="002E29FF">
        <w:tab/>
        <w:t>0%</w:t>
      </w:r>
      <w:r w:rsidRPr="002E29FF">
        <w:tab/>
        <w:t>20%</w:t>
      </w:r>
    </w:p>
    <w:p w:rsidR="00072B3A" w:rsidRPr="002E29FF" w:rsidRDefault="00072B3A" w:rsidP="00072B3A">
      <w:pPr>
        <w:tabs>
          <w:tab w:val="center" w:pos="5670"/>
          <w:tab w:val="center" w:pos="8080"/>
        </w:tabs>
        <w:spacing w:before="120"/>
        <w:ind w:left="425"/>
      </w:pPr>
      <w:r w:rsidRPr="002E29FF">
        <w:t xml:space="preserve">Árfolyamkockázat csökkentésére kötött </w:t>
      </w:r>
    </w:p>
    <w:p w:rsidR="00072B3A" w:rsidRPr="002E29FF" w:rsidRDefault="00072B3A" w:rsidP="00072B3A">
      <w:pPr>
        <w:tabs>
          <w:tab w:val="center" w:pos="5670"/>
          <w:tab w:val="center" w:pos="8080"/>
        </w:tabs>
        <w:spacing w:before="120"/>
        <w:ind w:left="425"/>
      </w:pPr>
      <w:proofErr w:type="gramStart"/>
      <w:r w:rsidRPr="002E29FF">
        <w:t>származtatott</w:t>
      </w:r>
      <w:proofErr w:type="gramEnd"/>
      <w:r w:rsidRPr="002E29FF">
        <w:t xml:space="preserve"> ügyletek:</w:t>
      </w:r>
      <w:r w:rsidRPr="002E29FF">
        <w:tab/>
        <w:t>0%</w:t>
      </w:r>
      <w:r w:rsidRPr="002E29FF">
        <w:tab/>
      </w:r>
      <w:r w:rsidR="002E29FF" w:rsidRPr="002E29FF">
        <w:t>10</w:t>
      </w:r>
      <w:r w:rsidRPr="002E29FF">
        <w:t>0%</w:t>
      </w:r>
    </w:p>
    <w:p w:rsidR="00072B3A" w:rsidRPr="002E29FF" w:rsidRDefault="00072B3A" w:rsidP="00072B3A">
      <w:pPr>
        <w:tabs>
          <w:tab w:val="center" w:pos="5670"/>
          <w:tab w:val="center" w:pos="8080"/>
        </w:tabs>
        <w:spacing w:before="120"/>
        <w:ind w:left="425"/>
      </w:pPr>
      <w:r w:rsidRPr="002E29FF">
        <w:lastRenderedPageBreak/>
        <w:t>Külföldi kibocsátású állampapírok:</w:t>
      </w:r>
      <w:r w:rsidRPr="002E29FF">
        <w:tab/>
        <w:t>0%</w:t>
      </w:r>
      <w:r w:rsidRPr="002E29FF">
        <w:tab/>
        <w:t>20%</w:t>
      </w:r>
    </w:p>
    <w:p w:rsidR="00072B3A" w:rsidRPr="002E29FF" w:rsidRDefault="00072B3A" w:rsidP="00072B3A">
      <w:pPr>
        <w:tabs>
          <w:tab w:val="center" w:pos="5670"/>
          <w:tab w:val="center" w:pos="8080"/>
        </w:tabs>
        <w:spacing w:before="120"/>
        <w:ind w:left="425"/>
      </w:pPr>
      <w:r w:rsidRPr="002E29FF">
        <w:t>Külföldi kibocsátású vállalati kötvények:</w:t>
      </w:r>
      <w:r w:rsidRPr="002E29FF">
        <w:tab/>
        <w:t>0%</w:t>
      </w:r>
      <w:r w:rsidRPr="002E29FF">
        <w:tab/>
        <w:t>20%</w:t>
      </w:r>
    </w:p>
    <w:p w:rsidR="00072B3A" w:rsidRPr="002E29FF" w:rsidRDefault="00072B3A" w:rsidP="00072B3A">
      <w:pPr>
        <w:tabs>
          <w:tab w:val="center" w:pos="5670"/>
          <w:tab w:val="center" w:pos="8080"/>
        </w:tabs>
        <w:spacing w:before="120"/>
        <w:ind w:left="425"/>
      </w:pPr>
      <w:r w:rsidRPr="002E29FF">
        <w:t>Külföldi kibocsátású egyéb kötvények:</w:t>
      </w:r>
      <w:r w:rsidRPr="002E29FF">
        <w:tab/>
        <w:t>0%</w:t>
      </w:r>
      <w:r w:rsidRPr="002E29FF">
        <w:tab/>
        <w:t>20%</w:t>
      </w:r>
    </w:p>
    <w:p w:rsidR="00072B3A" w:rsidRPr="002E29FF" w:rsidRDefault="00072B3A" w:rsidP="00072B3A">
      <w:pPr>
        <w:tabs>
          <w:tab w:val="center" w:pos="5670"/>
          <w:tab w:val="center" w:pos="8080"/>
        </w:tabs>
        <w:spacing w:before="120"/>
        <w:ind w:left="425"/>
      </w:pPr>
      <w:r w:rsidRPr="002E29FF">
        <w:t>Külföldi kibocsátású jelzáloglevelek:</w:t>
      </w:r>
      <w:r w:rsidRPr="002E29FF">
        <w:tab/>
        <w:t>0%</w:t>
      </w:r>
      <w:r w:rsidRPr="002E29FF">
        <w:tab/>
        <w:t>20%</w:t>
      </w:r>
    </w:p>
    <w:p w:rsidR="00072B3A" w:rsidRPr="00D77120" w:rsidRDefault="00072B3A" w:rsidP="00072B3A">
      <w:pPr>
        <w:tabs>
          <w:tab w:val="center" w:pos="5670"/>
          <w:tab w:val="center" w:pos="8080"/>
        </w:tabs>
        <w:spacing w:before="120"/>
        <w:ind w:left="425"/>
      </w:pPr>
      <w:r w:rsidRPr="002E29FF">
        <w:t>A BÉT-re nem bevezetett részvények:</w:t>
      </w:r>
      <w:r w:rsidRPr="002E29FF">
        <w:tab/>
        <w:t>0%</w:t>
      </w:r>
      <w:r w:rsidRPr="002E29FF">
        <w:tab/>
        <w:t>10%</w:t>
      </w:r>
    </w:p>
    <w:p w:rsidR="006C671B" w:rsidRPr="00F32A84" w:rsidRDefault="006C671B" w:rsidP="00FE5F5C">
      <w:pPr>
        <w:pStyle w:val="Cmsor2"/>
        <w:keepLines w:val="0"/>
        <w:numPr>
          <w:ilvl w:val="0"/>
          <w:numId w:val="32"/>
        </w:numPr>
        <w:rPr>
          <w:u w:val="single"/>
        </w:rPr>
      </w:pPr>
      <w:bookmarkStart w:id="48" w:name="_Toc349832299"/>
      <w:r w:rsidRPr="00F32A84">
        <w:rPr>
          <w:u w:val="single"/>
        </w:rPr>
        <w:t xml:space="preserve">A befektetési politika </w:t>
      </w:r>
      <w:r w:rsidR="00955E41" w:rsidRPr="00F32A84">
        <w:rPr>
          <w:u w:val="single"/>
        </w:rPr>
        <w:t xml:space="preserve">minden </w:t>
      </w:r>
      <w:r w:rsidRPr="00F32A84">
        <w:rPr>
          <w:u w:val="single"/>
        </w:rPr>
        <w:t>esetleges korlát</w:t>
      </w:r>
      <w:r w:rsidR="00955E41" w:rsidRPr="00F32A84">
        <w:rPr>
          <w:u w:val="single"/>
        </w:rPr>
        <w:t>ozása, valamint olyan technika, eszköz</w:t>
      </w:r>
      <w:r w:rsidRPr="00F32A84">
        <w:rPr>
          <w:u w:val="single"/>
        </w:rPr>
        <w:t xml:space="preserve"> v</w:t>
      </w:r>
      <w:r w:rsidR="00955E41" w:rsidRPr="00F32A84">
        <w:rPr>
          <w:u w:val="single"/>
        </w:rPr>
        <w:t>agy hitelfelvételi jogosítvány</w:t>
      </w:r>
      <w:r w:rsidRPr="00F32A84">
        <w:rPr>
          <w:u w:val="single"/>
        </w:rPr>
        <w:t>,</w:t>
      </w:r>
      <w:r w:rsidR="009A494F" w:rsidRPr="00F32A84">
        <w:rPr>
          <w:u w:val="single"/>
        </w:rPr>
        <w:t xml:space="preserve"> </w:t>
      </w:r>
      <w:r w:rsidR="00955E41" w:rsidRPr="00F32A84">
        <w:rPr>
          <w:u w:val="single"/>
        </w:rPr>
        <w:t>a</w:t>
      </w:r>
      <w:r w:rsidRPr="00F32A84">
        <w:rPr>
          <w:u w:val="single"/>
        </w:rPr>
        <w:t>mel</w:t>
      </w:r>
      <w:r w:rsidR="00955E41" w:rsidRPr="00F32A84">
        <w:rPr>
          <w:u w:val="single"/>
        </w:rPr>
        <w:t>y</w:t>
      </w:r>
      <w:r w:rsidRPr="00F32A84">
        <w:rPr>
          <w:u w:val="single"/>
        </w:rPr>
        <w:t xml:space="preserve"> a befektetési a</w:t>
      </w:r>
      <w:r w:rsidR="00955E41" w:rsidRPr="00F32A84">
        <w:rPr>
          <w:u w:val="single"/>
        </w:rPr>
        <w:t>lap kezeléséhez felhasználható</w:t>
      </w:r>
      <w:r w:rsidRPr="00F32A84">
        <w:rPr>
          <w:u w:val="single"/>
        </w:rPr>
        <w:t>:</w:t>
      </w:r>
      <w:bookmarkEnd w:id="48"/>
    </w:p>
    <w:p w:rsidR="00D100A5" w:rsidRPr="00D77120" w:rsidRDefault="00D100A5" w:rsidP="000F63F4">
      <w:pPr>
        <w:spacing w:before="240"/>
        <w:ind w:left="425"/>
      </w:pPr>
      <w:r w:rsidRPr="00D77120">
        <w:t>A Kormány a befektetési alapkezelőkről és a kollektív befektetési formákról szóló 2011. évi CXCIII. törvény 152. § (1) bekezdés b) pontjában kapott felhatalmazás alapján, az Alaptörvény 15. cikk (3) bekezdésében meghatározott feladatkörében eljárva a 345/2011. (XII. 29.) Korm. rendeletben rendelkezik a befektetési alapok befektetési és hitelfelvételi szabályairól. Ezeket ismertetjük lentebb.</w:t>
      </w:r>
    </w:p>
    <w:p w:rsidR="00D100A5" w:rsidRPr="00D77120" w:rsidRDefault="00D100A5" w:rsidP="000F63F4">
      <w:pPr>
        <w:spacing w:before="240"/>
        <w:ind w:left="425"/>
        <w:rPr>
          <w:i/>
          <w:u w:val="single"/>
        </w:rPr>
      </w:pPr>
      <w:r w:rsidRPr="00D77120">
        <w:rPr>
          <w:i/>
          <w:u w:val="single"/>
        </w:rPr>
        <w:t>Az Alap tulajdonában lévő befektetési eszközök kölcsönzésének, az eszközök terhelhetőségének szabályai</w:t>
      </w:r>
    </w:p>
    <w:p w:rsidR="00D100A5" w:rsidRPr="00D77120" w:rsidRDefault="00D100A5" w:rsidP="000F63F4">
      <w:pPr>
        <w:spacing w:before="240"/>
        <w:ind w:left="425"/>
        <w:rPr>
          <w:i/>
        </w:rPr>
      </w:pPr>
      <w:r w:rsidRPr="00D77120">
        <w:rPr>
          <w:i/>
        </w:rPr>
        <w:t>Befektetési eszközök kölcsönzése</w:t>
      </w:r>
    </w:p>
    <w:p w:rsidR="00D100A5" w:rsidRPr="00D77120" w:rsidRDefault="00D100A5" w:rsidP="000F63F4">
      <w:pPr>
        <w:spacing w:before="240"/>
        <w:ind w:left="425"/>
      </w:pPr>
      <w:r w:rsidRPr="00D77120">
        <w:t>Az Alapkezelő a 345/2011. (XII. 29.) Korm. rendeletben - előírt feltételek mellett az Alap értékpapírjait legfeljebb a saját tőke harminc százaléka erejéig az Alap nevében kölcsönadhatja.</w:t>
      </w:r>
    </w:p>
    <w:p w:rsidR="00D100A5" w:rsidRPr="00D77120" w:rsidRDefault="00D100A5" w:rsidP="000F63F4">
      <w:pPr>
        <w:spacing w:before="240"/>
        <w:ind w:left="425"/>
      </w:pPr>
      <w:r w:rsidRPr="00D77120">
        <w:t>Forgalomképtelen, korlátozottan forgalomképes, elővásárlási, vételi, visszavásárlási, óvadéki és zálogjoggal terhelt értékpapír-kölcsönügylet tárgya nem lehet. Nyomdai úton előállított, névre szóló értékpapír csak üres forgatmánnyal ellátva lehet kölcsönügylet tárgya.</w:t>
      </w:r>
    </w:p>
    <w:p w:rsidR="00D100A5" w:rsidRPr="00D77120" w:rsidRDefault="00D100A5" w:rsidP="000F63F4">
      <w:pPr>
        <w:spacing w:before="240"/>
        <w:ind w:left="425"/>
      </w:pPr>
      <w:r w:rsidRPr="00D77120">
        <w:t>A kölcsönbe adott értékpapír tulajdonjoga átszáll a kölcsönbe vevőre.</w:t>
      </w:r>
    </w:p>
    <w:p w:rsidR="00D100A5" w:rsidRPr="00D77120" w:rsidRDefault="00D100A5" w:rsidP="000F63F4">
      <w:pPr>
        <w:spacing w:before="240"/>
        <w:ind w:left="425"/>
      </w:pPr>
      <w:r w:rsidRPr="00D77120">
        <w:t>Értékpapírkölcsön-szerződés kizárólag határozott időre köthető. Az értékpapírkölcsön futamideje egy évnél hosszabb nem lehet, az ezzel ellentétes kikötés semmis.</w:t>
      </w:r>
    </w:p>
    <w:p w:rsidR="00D100A5" w:rsidRPr="00D77120" w:rsidRDefault="00D100A5" w:rsidP="000F63F4">
      <w:pPr>
        <w:spacing w:before="240"/>
        <w:ind w:left="425"/>
      </w:pPr>
      <w:r w:rsidRPr="00D77120">
        <w:t xml:space="preserve">Az értékpapír-kölcsön esetében az Alapkezelő – a Letétkezelő jóváhagyásával – megfelelő óvadékot köt ki. Az óvadék mértéke nem lehet kevesebb, mint a kölcsönbe adott értékpapír piaci értékének száz százaléka, </w:t>
      </w:r>
      <w:proofErr w:type="gramStart"/>
      <w:r w:rsidRPr="00D77120">
        <w:t>kivéve</w:t>
      </w:r>
      <w:proofErr w:type="gramEnd"/>
      <w:r w:rsidRPr="00D77120">
        <w:t xml:space="preserve"> ha a kölcsönbe adott értékpapír állampapír, állami készfizető kezességgel kibocsátott hitelviszonyt megtestesítő értékpapír vagy jelzáloglevél. Ez utóbbi esetekben az óvadék mértéke nem lehet kevesebb, mint a kölcsönbe adott értékpapír piaci értékének százöt százaléka. Ha az óvadék piaci értéke a kölcsönbe adott értékpapír piaci értékének az előzőekben meghatározott szintje alá csökken, az óvadékot ki kell egészíteni, azt folyamatosan a kölcsönbe adott értékpapír piaci értékéhez kell igazítani. Ha a kölcsönbe vevő a szerződésben kikötött óvadék kiegészítési kötelezettségének nem tesz eleget, az Alapkezelő a rendkívüli felmondással egyidejűleg az óvadékból az Alap javára közvetlen kielégítést kereshet.</w:t>
      </w:r>
    </w:p>
    <w:p w:rsidR="00D100A5" w:rsidRPr="00D77120" w:rsidRDefault="00D100A5" w:rsidP="000F63F4">
      <w:pPr>
        <w:spacing w:before="240"/>
        <w:ind w:left="425"/>
      </w:pPr>
      <w:r w:rsidRPr="00D77120">
        <w:t>Ha a kölcsönbe vevő a kölcsönszerződés lejáratakor az értékpapírt visszaszolgáltatni nem tudja, kártérítés esetén az Alap részére fizetendő pénzbeli kártérítés legkisebb összegeként a kölcsönbe adás, illetőleg a lejárat napjának árfolyamai közül a magasabbat kell figyelembe venni.</w:t>
      </w:r>
    </w:p>
    <w:p w:rsidR="00D100A5" w:rsidRPr="00D77120" w:rsidRDefault="00D100A5" w:rsidP="000F63F4">
      <w:pPr>
        <w:spacing w:before="240"/>
        <w:ind w:left="425"/>
      </w:pPr>
      <w:r w:rsidRPr="00D77120">
        <w:t>Az Alap tulajdonában lévő értékpapír kölcsönzéséhez az Alap és a kölcsönbe vevő közötti értékpapír-kölcsönzési keretszerződés vagy értékpapírkölcsön-szerződés megléte szükséges.</w:t>
      </w:r>
    </w:p>
    <w:p w:rsidR="00D100A5" w:rsidRPr="00D77120" w:rsidRDefault="00D100A5" w:rsidP="000F63F4">
      <w:pPr>
        <w:spacing w:before="240"/>
        <w:ind w:left="425"/>
      </w:pPr>
      <w:r w:rsidRPr="00D77120">
        <w:t>Az értékpapírkölcsönre a Batv.-ban, vagy a 345/2011. (XII. 29.) Korm. rendeletben nem szabályozott kérdésekben a Ptk. pénzkölcsönre vonatkozó szabályait kell alkalmazni.</w:t>
      </w:r>
    </w:p>
    <w:p w:rsidR="00D100A5" w:rsidRPr="00D77120" w:rsidRDefault="00D100A5" w:rsidP="000F63F4">
      <w:pPr>
        <w:spacing w:before="240"/>
        <w:ind w:left="425"/>
      </w:pPr>
      <w:r w:rsidRPr="00D77120">
        <w:t>Az Alapkezelő a fenti biztonsági körülmények figyelembe vételével, valamint a törvényi előírások betartásával együtt az eszközök kölcsönzését a fejlődő magyar tőkepiac egyik újabb állomásának tartja, ami hozzájárulhat a befektetési jegy tulajdonosok hozamának javításához. Amennyiben ebből az alapok befektetőinek előnye származik, a kölcsönzés intézményét az Alapkezelő a befektetési alapkezelés során használni szándékozik.</w:t>
      </w:r>
    </w:p>
    <w:p w:rsidR="00D100A5" w:rsidRPr="00D77120" w:rsidRDefault="00D100A5" w:rsidP="000F63F4">
      <w:pPr>
        <w:spacing w:before="240"/>
        <w:ind w:left="425"/>
        <w:rPr>
          <w:i/>
        </w:rPr>
      </w:pPr>
      <w:r w:rsidRPr="00D77120">
        <w:rPr>
          <w:i/>
        </w:rPr>
        <w:t>Az Alapra vonatkozó egyéb befektetési korlátozások</w:t>
      </w:r>
    </w:p>
    <w:p w:rsidR="00D100A5" w:rsidRPr="00D77120" w:rsidRDefault="00D100A5" w:rsidP="000F63F4">
      <w:pPr>
        <w:spacing w:before="240"/>
        <w:ind w:left="425"/>
      </w:pPr>
      <w:r w:rsidRPr="00D77120">
        <w:t>A 345/2011. (XII. 29.) Korm. rendelet 13 - 14. § alapján a legfontosabb befektetési korlátozások az alábbiak:</w:t>
      </w:r>
    </w:p>
    <w:p w:rsidR="00D100A5" w:rsidRPr="00D77120" w:rsidRDefault="00D100A5" w:rsidP="000F63F4">
      <w:pPr>
        <w:spacing w:before="120"/>
        <w:ind w:left="851"/>
      </w:pPr>
      <w:r w:rsidRPr="00D77120">
        <w:t>Az Alapkezelő az Alap saját tőkéjét nem fektetheti be az Alap által kibocsátott Befektetési Jegybe.</w:t>
      </w:r>
    </w:p>
    <w:p w:rsidR="00D100A5" w:rsidRPr="00D77120" w:rsidRDefault="00D100A5" w:rsidP="000F63F4">
      <w:pPr>
        <w:spacing w:before="120"/>
        <w:ind w:left="851"/>
      </w:pPr>
      <w:r w:rsidRPr="00D77120">
        <w:t>Az Alapkezelő az Alap részére nem vásárolhat a) saját maga által kibocsátott értékpapírt; b) az Alapkezelő kapcsolt vállalkozásai által kibocsátott értékpapírt, a nyilvános árjegyzéssel rendelkező értékpapírok kivételével, ideértve a tőzsdére bevezetendő értékpapírokat.</w:t>
      </w:r>
    </w:p>
    <w:p w:rsidR="00D100A5" w:rsidRPr="00D77120" w:rsidRDefault="00D100A5" w:rsidP="000F63F4">
      <w:pPr>
        <w:spacing w:before="120"/>
        <w:ind w:left="851"/>
      </w:pPr>
      <w:r w:rsidRPr="00D77120">
        <w:lastRenderedPageBreak/>
        <w:t>Az Alap nem vásárolhat az Alapkezelő tulajdonában lévő pénzügyi eszközöket, és nem értékesíthet pénzügyi eszközt az Alapkezelő részére</w:t>
      </w:r>
    </w:p>
    <w:p w:rsidR="00D100A5" w:rsidRPr="00D77120" w:rsidRDefault="00D100A5" w:rsidP="000F63F4">
      <w:pPr>
        <w:spacing w:before="120"/>
        <w:ind w:left="851"/>
      </w:pPr>
      <w:r w:rsidRPr="00D77120">
        <w:t>Az Alapnak az Alapkezelő kapcsolt vállalkozásaival kötött, valamint az Alapkezelő által kezelt egyéb kollektív befektetési formák, valamint portfóliók egymás közötti ügyletei esetén az ügylet kötésekor érvényben lévő piaci árat dokumentálni kell</w:t>
      </w:r>
    </w:p>
    <w:p w:rsidR="00D100A5" w:rsidRPr="00D77120" w:rsidRDefault="00D100A5" w:rsidP="000F63F4">
      <w:pPr>
        <w:spacing w:before="240"/>
        <w:ind w:left="425"/>
        <w:rPr>
          <w:i/>
        </w:rPr>
      </w:pPr>
      <w:r w:rsidRPr="00D77120">
        <w:rPr>
          <w:i/>
        </w:rPr>
        <w:t>Befektetési korlátok a befektetési alap eszközeihez viszonyítva</w:t>
      </w:r>
    </w:p>
    <w:p w:rsidR="00D100A5" w:rsidRPr="00D77120" w:rsidRDefault="00D100A5" w:rsidP="000F63F4">
      <w:pPr>
        <w:spacing w:before="240"/>
        <w:ind w:left="425"/>
      </w:pPr>
      <w:r w:rsidRPr="00D77120">
        <w:t>A 18. § alapján:</w:t>
      </w:r>
    </w:p>
    <w:p w:rsidR="00D100A5" w:rsidRPr="00D77120" w:rsidRDefault="00D100A5" w:rsidP="000F63F4">
      <w:pPr>
        <w:spacing w:before="120"/>
        <w:ind w:left="851"/>
      </w:pPr>
      <w:r w:rsidRPr="00D77120">
        <w:t>(1) A befektetési alap eszközeinek 10 százalékát fektetheti be ugyanazon kibocsátó által kibocsátott átruházható értékpapírokba vagy pénzpiaci eszközökbe.</w:t>
      </w:r>
    </w:p>
    <w:p w:rsidR="00D100A5" w:rsidRPr="00D77120" w:rsidRDefault="00D100A5" w:rsidP="000F63F4">
      <w:pPr>
        <w:spacing w:before="120"/>
        <w:ind w:left="851"/>
      </w:pPr>
      <w:r w:rsidRPr="00D77120">
        <w:t>(2) Az (1) bekezdésben meghatározott korláttal szemben 15 százalékos korlát alkalmazható olyan átruházható értékpapírok tekintetében, amelyeket szabályozott piacon vagy multilaterális kereskedési rendszeren forgalmaznak, feltéve, hogy az utolsó naptári negyedévben mért napi átlagos forgalma meghaladja a százmillió forintot.</w:t>
      </w:r>
    </w:p>
    <w:p w:rsidR="00D100A5" w:rsidRPr="00D77120" w:rsidRDefault="00D100A5" w:rsidP="000F63F4">
      <w:pPr>
        <w:spacing w:before="120"/>
        <w:ind w:left="851"/>
      </w:pPr>
      <w:r w:rsidRPr="00D77120">
        <w:t xml:space="preserve">(3) </w:t>
      </w:r>
      <w:proofErr w:type="gramStart"/>
      <w:r w:rsidRPr="00D77120">
        <w:t>Az (1) bekezdésben meghatározott korláttal szemben 25 százalékos korlát alkalmazható Magyarországon székhellyel rendelkező jelzálog-hitelintézet által kibocsátott jelzáloglevelek esetében, továbbá olyan kötvények esetében, amelyek kibocsátója egy tagállamban székhellyel rendelkező és jogszabálynál fogva a kötvénytulajdonosok érdekeinek védelmére létrehozott különleges állami felügyelet hatálya alatt álló hitelintézet, feltéve, hogy ez utóbbinak a kötvények kibocsátásából befolyt összegeket jogszabálynál fogva olyan eszközökbe kell befektetni, amelyek a kötvények futamideje alatt mindvégig alkalmasak</w:t>
      </w:r>
      <w:proofErr w:type="gramEnd"/>
      <w:r w:rsidRPr="00D77120">
        <w:t xml:space="preserve"> a kötvényekhez rendelt követelések kielégítésére, és amelyeket a kibocsátó felszámolása </w:t>
      </w:r>
      <w:proofErr w:type="gramStart"/>
      <w:r w:rsidRPr="00D77120">
        <w:t>esetén</w:t>
      </w:r>
      <w:proofErr w:type="gramEnd"/>
      <w:r w:rsidRPr="00D77120">
        <w:t xml:space="preserve"> első helyen a tőke visszatérítésére és a felhalmozott kamat kifizetésére kell felhasználni. Amennyiben a befektetési alap eszközeinek több mint 10 százalékát fekteti az e bekezdés hatálya alá tartozó, egy kibocsátó által kibocsátott értékpapírokba, ezeknek a befektetéseknek az összértéke nem haladhatja meg a befektetési alap eszközeinek 80 százalékát.</w:t>
      </w:r>
    </w:p>
    <w:p w:rsidR="00D100A5" w:rsidRPr="00D77120" w:rsidRDefault="00D100A5" w:rsidP="000F63F4">
      <w:pPr>
        <w:spacing w:before="120"/>
        <w:ind w:left="851"/>
      </w:pPr>
      <w:r w:rsidRPr="00D77120">
        <w:t>(4) Az (1) bekezdésben meghatározott korláttal szemben 35 százalékos korlát alkalmazható abban az esetben, ha az átruházható értékpapírok vagy pénzpiaci eszközök kibocsátója vagy garanciavállalója egy EGT-állam, annak helyi hatósága, harmadik ország, vagy olyan nemzetközi közjogi szerv, amelynek egy vagy több EGT-állam is tagja.</w:t>
      </w:r>
    </w:p>
    <w:p w:rsidR="00D100A5" w:rsidRPr="00D77120" w:rsidRDefault="00D100A5" w:rsidP="000F63F4">
      <w:pPr>
        <w:spacing w:before="120"/>
        <w:ind w:left="851"/>
      </w:pPr>
      <w:r w:rsidRPr="00D77120">
        <w:t>(5) A befektetési alap eszközeinek 40 százalékát nem haladhatja meg azon kibocsátók átruházható értékpapírjainak és pénzpiaci eszközeinek összértéke, amelyekben a befektetési alap által történő befektetések értéke egyenként meghaladja a befektetési alap eszközeinek 10 százalékát. Ez nem vonatkozik a prudenciális felügyelet hatálya alatt álló hitelintézetekben elhelyezett betétekre, illetve a prudenciális felügyelet hatálya alatt álló hitelintézetekkel lebonyolított OTC származtatott ügyletekre. A (3)–(4) bekezdésben szabályozott értékpapírokat és pénzpiaci eszközöket a 40 százalékos korlát alkalmazása szempontjából nem kell figyelembe venni.</w:t>
      </w:r>
    </w:p>
    <w:p w:rsidR="00D100A5" w:rsidRPr="00D77120" w:rsidRDefault="00D100A5" w:rsidP="000F63F4">
      <w:pPr>
        <w:spacing w:before="240"/>
        <w:ind w:left="425"/>
      </w:pPr>
      <w:r w:rsidRPr="00D77120">
        <w:t>A 19. § alapján: A 18. §-ban szereplő korláttól eltérően a befektetési alap eszközeinek akár 100 százalékát fektetheti EGT-állam vagy az OECD tagállama által kibocsátott vagy garantált állampapírokba és nemzetközi pénzügyi intézmény által kibocsátott vagy garantált hitelviszonyt megtestesítő értékpapírokba, ha eszközeinek legfeljebb 35 százalékát fekteti egy adott sorozatba tartozó értékpapírba.</w:t>
      </w:r>
    </w:p>
    <w:p w:rsidR="00D100A5" w:rsidRPr="00D77120" w:rsidRDefault="00D100A5" w:rsidP="000F63F4">
      <w:pPr>
        <w:spacing w:before="240"/>
        <w:ind w:left="425"/>
        <w:rPr>
          <w:i/>
        </w:rPr>
      </w:pPr>
      <w:r w:rsidRPr="00D77120">
        <w:rPr>
          <w:i/>
        </w:rPr>
        <w:t>Kollektív befektetési formákba történő befektetések speciális szabályai, alapok alapja</w:t>
      </w:r>
    </w:p>
    <w:p w:rsidR="00D100A5" w:rsidRDefault="00D100A5" w:rsidP="000F63F4">
      <w:pPr>
        <w:spacing w:before="240"/>
        <w:ind w:left="425"/>
      </w:pPr>
      <w:r w:rsidRPr="00AB09CC">
        <w:t>A 21. § alapján:</w:t>
      </w:r>
    </w:p>
    <w:p w:rsidR="0073014A" w:rsidRPr="00D77120" w:rsidRDefault="0073014A" w:rsidP="0073014A">
      <w:pPr>
        <w:spacing w:before="120"/>
        <w:ind w:left="851"/>
      </w:pPr>
      <w:r>
        <w:t xml:space="preserve">A Concorde Hold Alapok Alapja alapba fektető alap, így eszközeinek több mint 80%-át fektetheti más </w:t>
      </w:r>
      <w:r w:rsidRPr="0073014A">
        <w:t>befektetési alap befektetési jegyeibe, vagy egyéb kollektív befektetési forma értékpapírjába</w:t>
      </w:r>
      <w:r>
        <w:t>.</w:t>
      </w:r>
    </w:p>
    <w:p w:rsidR="00D100A5" w:rsidRPr="00D77120" w:rsidRDefault="00D100A5" w:rsidP="000F63F4">
      <w:pPr>
        <w:spacing w:before="120"/>
        <w:ind w:left="851"/>
      </w:pPr>
      <w:r w:rsidRPr="00D77120">
        <w:t>(2) Ha a befektetési alap más olyan befektetési jegybe, vagy kollektív befektetési értékpapírba fektet be, amelyet közvetlenül vagy meghatalmazás alapján az adott befektetési alap alapkezelője, vagy azzal szoros kapcsolatban lévő másik alapkezelő kezel – ideértve azt, amikor az alapkezelő alvállalkozóként kezeli az adott alapot –, a befektetéssel, illetve annak megszüntetésével kapcsolatosan az adott befektetési alapra eladási és visszaváltási jutalék nem terhelhető.</w:t>
      </w:r>
    </w:p>
    <w:p w:rsidR="00D100A5" w:rsidRPr="00D77120" w:rsidRDefault="00D100A5" w:rsidP="000F63F4">
      <w:pPr>
        <w:spacing w:before="240"/>
        <w:ind w:left="425"/>
        <w:rPr>
          <w:i/>
        </w:rPr>
      </w:pPr>
      <w:r w:rsidRPr="00D77120">
        <w:rPr>
          <w:i/>
        </w:rPr>
        <w:t>Befektetési korlátok a megengedett eszközök oldaláról</w:t>
      </w:r>
    </w:p>
    <w:p w:rsidR="00D100A5" w:rsidRPr="00D77120" w:rsidRDefault="00D100A5" w:rsidP="000F63F4">
      <w:pPr>
        <w:spacing w:before="240"/>
        <w:ind w:left="425"/>
      </w:pPr>
      <w:r w:rsidRPr="00D77120">
        <w:t>25. § alapján:</w:t>
      </w:r>
    </w:p>
    <w:p w:rsidR="00D100A5" w:rsidRPr="00D77120" w:rsidRDefault="00D100A5" w:rsidP="000F63F4">
      <w:pPr>
        <w:spacing w:before="120"/>
        <w:ind w:left="851"/>
      </w:pPr>
      <w:r w:rsidRPr="00D77120">
        <w:t>(1) A nyilvános befektetési alap egyetlen kibocsátóban sem szerezhet minősített befolyást, illetve nyilvánosan működő részvénytársaságban nem szerezhet nyilvános vételi ajánlattételi kötelezettséget megalapozó befolyást.</w:t>
      </w:r>
    </w:p>
    <w:p w:rsidR="00D100A5" w:rsidRPr="00D77120" w:rsidRDefault="00D100A5" w:rsidP="000F63F4">
      <w:pPr>
        <w:spacing w:before="120"/>
        <w:ind w:left="851"/>
      </w:pPr>
      <w:r w:rsidRPr="00D77120">
        <w:t>(2) A fentieken túlmenően a nyilvános befektetés alap:</w:t>
      </w:r>
    </w:p>
    <w:p w:rsidR="00D100A5" w:rsidRPr="00D77120" w:rsidRDefault="00D100A5" w:rsidP="000F63F4">
      <w:pPr>
        <w:spacing w:before="120"/>
        <w:ind w:left="1276"/>
      </w:pPr>
      <w:proofErr w:type="gramStart"/>
      <w:r w:rsidRPr="00D77120">
        <w:t>a</w:t>
      </w:r>
      <w:proofErr w:type="gramEnd"/>
      <w:r w:rsidRPr="00D77120">
        <w:t>) egy kibocsátó szavazásra nem jogosító részvényeinek legfeljebb 10 százalékát,</w:t>
      </w:r>
    </w:p>
    <w:p w:rsidR="00D100A5" w:rsidRPr="00D77120" w:rsidRDefault="00D100A5" w:rsidP="000F63F4">
      <w:pPr>
        <w:spacing w:before="120"/>
        <w:ind w:left="1276"/>
      </w:pPr>
      <w:r w:rsidRPr="00D77120">
        <w:lastRenderedPageBreak/>
        <w:t>b) egy kibocsátó hitelviszonyt megtestesítő értékpapírjainak legfeljebb 20 százalékát, szerezheti meg.</w:t>
      </w:r>
    </w:p>
    <w:p w:rsidR="00D100A5" w:rsidRPr="00D77120" w:rsidRDefault="00D100A5" w:rsidP="000F63F4">
      <w:pPr>
        <w:spacing w:before="120"/>
        <w:ind w:left="851"/>
      </w:pPr>
      <w:r w:rsidRPr="00D77120">
        <w:t>(3) A (2) bekezdés b) pontjaiban meghatározott korlát figyelmen kívül hagyható a megszerzés időpontjában, amennyiben a hitelviszonyt megtestesítő értékpapírok bruttó értékét vagy a forgalomba hozandó értékpapírok nettó értékét ebben az időpontban nem lehet meghatározni.</w:t>
      </w:r>
    </w:p>
    <w:p w:rsidR="00D100A5" w:rsidRPr="00D77120" w:rsidRDefault="00D100A5" w:rsidP="000F63F4">
      <w:pPr>
        <w:spacing w:before="120"/>
        <w:ind w:left="851"/>
      </w:pPr>
      <w:r w:rsidRPr="00D77120">
        <w:t>(4) Nem kell figyelembe venni az (1) és (2) bekezdésben szereplő korlátokat:</w:t>
      </w:r>
    </w:p>
    <w:p w:rsidR="00D100A5" w:rsidRPr="00D77120" w:rsidRDefault="00D100A5" w:rsidP="000F63F4">
      <w:pPr>
        <w:spacing w:before="120"/>
        <w:ind w:left="1276"/>
      </w:pPr>
      <w:proofErr w:type="gramStart"/>
      <w:r w:rsidRPr="00D77120">
        <w:t>a</w:t>
      </w:r>
      <w:proofErr w:type="gramEnd"/>
      <w:r w:rsidRPr="00D77120">
        <w:t>) az EGT-állam vagy annak önkormányzata által forgalomba hozott vagy garantált átruházható értékpapírok és pénzpiaci eszközök esetében,</w:t>
      </w:r>
    </w:p>
    <w:p w:rsidR="00D100A5" w:rsidRPr="00D77120" w:rsidRDefault="00D100A5" w:rsidP="000F63F4">
      <w:pPr>
        <w:spacing w:before="120"/>
        <w:ind w:left="1276"/>
      </w:pPr>
      <w:r w:rsidRPr="00D77120">
        <w:t>b) a harmadik ország által forgalomba hozott vagy garantált átruházható értékpapírok és pénzpiaci eszközök esetében,</w:t>
      </w:r>
    </w:p>
    <w:p w:rsidR="00D100A5" w:rsidRPr="00D77120" w:rsidRDefault="00D100A5" w:rsidP="000F63F4">
      <w:pPr>
        <w:spacing w:before="120"/>
        <w:ind w:left="1276"/>
      </w:pPr>
      <w:r w:rsidRPr="00D77120">
        <w:t>c) nemzetközi pénzügyi intézmény, valamint az olyan nemzetközi közjogi szervezetek által kibocsátott átruházható értékpapírok esetében, amelyeknek egy vagy több tagállam a tagja.</w:t>
      </w:r>
    </w:p>
    <w:p w:rsidR="006C671B" w:rsidRPr="00D77120" w:rsidRDefault="006C671B" w:rsidP="00FE5F5C">
      <w:pPr>
        <w:pStyle w:val="Cmsor2"/>
        <w:keepLines w:val="0"/>
        <w:numPr>
          <w:ilvl w:val="0"/>
          <w:numId w:val="32"/>
        </w:numPr>
        <w:rPr>
          <w:u w:val="single"/>
        </w:rPr>
      </w:pPr>
      <w:bookmarkStart w:id="49" w:name="_Toc349832300"/>
      <w:r w:rsidRPr="00D77120">
        <w:rPr>
          <w:u w:val="single"/>
        </w:rPr>
        <w:t>A portfólió devizális kitettsége:</w:t>
      </w:r>
      <w:bookmarkEnd w:id="49"/>
    </w:p>
    <w:p w:rsidR="00BE6326" w:rsidRPr="00D77120" w:rsidRDefault="00BE6326" w:rsidP="000F63F4">
      <w:pPr>
        <w:spacing w:before="240"/>
        <w:ind w:left="425"/>
      </w:pPr>
      <w:r w:rsidRPr="00D77120">
        <w:t>Az Alap harminc százalékot meghaladó mértékben fektethet bármilyen devizában denominált értékpapírba.</w:t>
      </w:r>
    </w:p>
    <w:p w:rsidR="00AF46B1" w:rsidRPr="00D77120" w:rsidRDefault="00955E41" w:rsidP="00955E41">
      <w:pPr>
        <w:pStyle w:val="Cmsor2"/>
        <w:keepLines w:val="0"/>
        <w:numPr>
          <w:ilvl w:val="0"/>
          <w:numId w:val="32"/>
        </w:numPr>
        <w:rPr>
          <w:u w:val="single"/>
        </w:rPr>
      </w:pPr>
      <w:bookmarkStart w:id="50" w:name="_Toc349832301"/>
      <w:r w:rsidRPr="00955E41">
        <w:rPr>
          <w:u w:val="single"/>
        </w:rPr>
        <w:t>17.</w:t>
      </w:r>
      <w:r w:rsidRPr="00955E41">
        <w:rPr>
          <w:u w:val="single"/>
        </w:rPr>
        <w:tab/>
        <w:t>Ha a tőke-, illetve hozamígéret a befektetési alap befektetési politikájával van alátámasztva, akkor a mögöttes tervezett tranzakciók leírása</w:t>
      </w:r>
      <w:r w:rsidR="00AF46B1" w:rsidRPr="00D77120">
        <w:rPr>
          <w:u w:val="single"/>
        </w:rPr>
        <w:t>:</w:t>
      </w:r>
      <w:bookmarkEnd w:id="50"/>
    </w:p>
    <w:p w:rsidR="00896B96" w:rsidRPr="00D77120" w:rsidRDefault="00955E41" w:rsidP="000F63F4">
      <w:pPr>
        <w:spacing w:before="240"/>
        <w:ind w:left="425"/>
      </w:pPr>
      <w:r w:rsidRPr="00955E41">
        <w:t>Nem alkalmazandó.</w:t>
      </w:r>
    </w:p>
    <w:p w:rsidR="00AF46B1" w:rsidRPr="00D77120" w:rsidRDefault="00AF46B1" w:rsidP="00FE5F5C">
      <w:pPr>
        <w:pStyle w:val="Cmsor2"/>
        <w:keepLines w:val="0"/>
        <w:numPr>
          <w:ilvl w:val="0"/>
          <w:numId w:val="32"/>
        </w:numPr>
        <w:rPr>
          <w:u w:val="single"/>
        </w:rPr>
      </w:pPr>
      <w:bookmarkStart w:id="51" w:name="_Toc349832302"/>
      <w:r w:rsidRPr="00D77120">
        <w:rPr>
          <w:u w:val="single"/>
        </w:rPr>
        <w:t>Hitelfelvételi szabályok:</w:t>
      </w:r>
      <w:bookmarkEnd w:id="51"/>
    </w:p>
    <w:p w:rsidR="00AF46B1" w:rsidRPr="00D77120" w:rsidRDefault="00AF46B1" w:rsidP="000F63F4">
      <w:pPr>
        <w:spacing w:before="240"/>
        <w:ind w:left="425"/>
      </w:pPr>
      <w:r w:rsidRPr="00D77120">
        <w:t>Az Alap eszközeinek 10 százaléka erejéig vehet fel hitelt 3 hónapnál rövidebb futamidőre. Az Alap jogosult a hitelfelvételhez óvadékot nyújtani. Az Alap kötvényt, más hitelviszonyt megtestesítő értékpapírt nem bocsáthat ki. A Kormányrendelet alkalmazása során nem minősül hitelfelvételnek az Alapot terhelő fizetési kötelezettségre vonatkozó, a forgalmazó által biztosított, legfeljebb 15 napos halasztott pénzügyi teljesítés lehetősége.</w:t>
      </w:r>
    </w:p>
    <w:p w:rsidR="00AF46B1" w:rsidRPr="00D77120" w:rsidRDefault="00AF46B1" w:rsidP="000F63F4">
      <w:pPr>
        <w:spacing w:before="240"/>
        <w:ind w:left="425"/>
      </w:pPr>
      <w:r w:rsidRPr="00D77120">
        <w:t>Az Alap nem nyújthat pénzkölcsönt, nem vállalhat kezességet. Ez a tilalom nem vonatkozik a maradéktalanul még ki nem fizetett pénzügyi eszközök vásárlására.</w:t>
      </w:r>
    </w:p>
    <w:p w:rsidR="00AF46B1" w:rsidRPr="00D77120" w:rsidRDefault="00AF46B1" w:rsidP="000F63F4">
      <w:pPr>
        <w:spacing w:before="240"/>
        <w:ind w:left="425"/>
      </w:pPr>
      <w:r w:rsidRPr="00D77120">
        <w:t>Az Alap nem köthet fedezetlen eladási ügyleteket.</w:t>
      </w:r>
    </w:p>
    <w:p w:rsidR="00AF46B1" w:rsidRPr="00D77120" w:rsidRDefault="00AF46B1" w:rsidP="000F63F4">
      <w:pPr>
        <w:spacing w:before="240"/>
        <w:ind w:left="425"/>
      </w:pPr>
      <w:r w:rsidRPr="00D77120">
        <w:t>Az Alap a kezelési szabályzatában foglalt feltételek szerint jogosult az eszközei terhére származtatott ügyleteihez óvadékot nyújtani.</w:t>
      </w:r>
    </w:p>
    <w:p w:rsidR="00AF46B1" w:rsidRPr="00D77120" w:rsidRDefault="00AF46B1" w:rsidP="000F63F4">
      <w:pPr>
        <w:spacing w:before="240"/>
        <w:ind w:left="425"/>
      </w:pPr>
      <w:r w:rsidRPr="00D77120">
        <w:t>Az Alap értékpapírkölcsön ügylet keretében kölcsön vehet, vagy kölcsön ad</w:t>
      </w:r>
      <w:r w:rsidR="002E0FCD">
        <w:t>hat értékpapírt</w:t>
      </w:r>
      <w:r w:rsidRPr="00D77120">
        <w:t>. A limitelőírásoknak való megfelelés szempontjából az egyes értékpapírok összes eszközön belüli arányának számításakor figyelembe kell venni az Alap nevében kölcsönadott értékpapírokat, nem kell figyelembe venni azonban a kölcsönvett értékpapírt.</w:t>
      </w:r>
    </w:p>
    <w:p w:rsidR="00AF46B1" w:rsidRPr="00D77120" w:rsidRDefault="00AF46B1" w:rsidP="00FE5F5C">
      <w:pPr>
        <w:pStyle w:val="Cmsor2"/>
        <w:keepLines w:val="0"/>
        <w:numPr>
          <w:ilvl w:val="0"/>
          <w:numId w:val="32"/>
        </w:numPr>
        <w:rPr>
          <w:u w:val="single"/>
        </w:rPr>
      </w:pPr>
      <w:bookmarkStart w:id="52" w:name="_Toc349832303"/>
      <w:r w:rsidRPr="00D77120">
        <w:rPr>
          <w:u w:val="single"/>
        </w:rPr>
        <w:t>Azon</w:t>
      </w:r>
      <w:r w:rsidR="00740769" w:rsidRPr="00D77120">
        <w:rPr>
          <w:u w:val="single"/>
        </w:rPr>
        <w:t xml:space="preserve"> értékpapírokat kibocsátó vagy garantáló államok, önkormányzatok vagy nemzetközi szervezetek, amelyeknek az értékpapírjaiba az alap eszközeinek </w:t>
      </w:r>
      <w:proofErr w:type="gramStart"/>
      <w:r w:rsidR="00740769" w:rsidRPr="00D77120">
        <w:rPr>
          <w:u w:val="single"/>
        </w:rPr>
        <w:t>több, mint</w:t>
      </w:r>
      <w:proofErr w:type="gramEnd"/>
      <w:r w:rsidR="00740769" w:rsidRPr="00D77120">
        <w:rPr>
          <w:u w:val="single"/>
        </w:rPr>
        <w:t xml:space="preserve"> 35 százalékát fekteti</w:t>
      </w:r>
      <w:r w:rsidRPr="00D77120">
        <w:rPr>
          <w:u w:val="single"/>
        </w:rPr>
        <w:t>:</w:t>
      </w:r>
      <w:bookmarkEnd w:id="52"/>
    </w:p>
    <w:p w:rsidR="00740769" w:rsidRPr="00D77120" w:rsidRDefault="006C04D1" w:rsidP="000F63F4">
      <w:pPr>
        <w:spacing w:before="240"/>
        <w:ind w:left="425"/>
      </w:pPr>
      <w:r w:rsidRPr="00D77120">
        <w:t>Esetlegesen a M</w:t>
      </w:r>
      <w:r w:rsidR="00740769" w:rsidRPr="00D77120">
        <w:t xml:space="preserve">agyar </w:t>
      </w:r>
      <w:r w:rsidRPr="00D77120">
        <w:t>Á</w:t>
      </w:r>
      <w:r w:rsidR="00740769" w:rsidRPr="00D77120">
        <w:t>llam</w:t>
      </w:r>
    </w:p>
    <w:p w:rsidR="00740769" w:rsidRPr="00D77120" w:rsidRDefault="00740769" w:rsidP="00FE5F5C">
      <w:pPr>
        <w:pStyle w:val="Cmsor2"/>
        <w:keepLines w:val="0"/>
        <w:numPr>
          <w:ilvl w:val="0"/>
          <w:numId w:val="32"/>
        </w:numPr>
        <w:rPr>
          <w:u w:val="single"/>
        </w:rPr>
      </w:pPr>
      <w:bookmarkStart w:id="53" w:name="_Toc349832304"/>
      <w:r w:rsidRPr="00D77120">
        <w:rPr>
          <w:u w:val="single"/>
        </w:rPr>
        <w:t>A leképzett index bemutatása és az egyes értékpapírok indexbeli súlyától való eltérésének maximális nagysága</w:t>
      </w:r>
      <w:bookmarkEnd w:id="53"/>
    </w:p>
    <w:p w:rsidR="00740769" w:rsidRPr="00D77120" w:rsidRDefault="002E0FCD" w:rsidP="000F63F4">
      <w:pPr>
        <w:spacing w:before="240"/>
        <w:ind w:left="425"/>
      </w:pPr>
      <w:r>
        <w:t>Nem alkalmazandó</w:t>
      </w:r>
      <w:r w:rsidR="00740769" w:rsidRPr="00D77120">
        <w:t>.</w:t>
      </w:r>
    </w:p>
    <w:p w:rsidR="00740769" w:rsidRPr="00D77120" w:rsidRDefault="00740769" w:rsidP="00FE5F5C">
      <w:pPr>
        <w:pStyle w:val="Cmsor2"/>
        <w:keepLines w:val="0"/>
        <w:numPr>
          <w:ilvl w:val="0"/>
          <w:numId w:val="32"/>
        </w:numPr>
        <w:rPr>
          <w:u w:val="single"/>
        </w:rPr>
      </w:pPr>
      <w:bookmarkStart w:id="54" w:name="_Toc349832305"/>
      <w:r w:rsidRPr="00D77120">
        <w:rPr>
          <w:u w:val="single"/>
        </w:rPr>
        <w:t>Azon befektetési alap befektetési politikája, amelybe a befektetési alapba fektető befektetési alap eszközeinek legalább 20 százalékát meghaladó mértékben kíván fektetni:</w:t>
      </w:r>
      <w:bookmarkEnd w:id="54"/>
    </w:p>
    <w:p w:rsidR="00AB09CC" w:rsidRDefault="00AB09CC">
      <w:r>
        <w:br w:type="page"/>
      </w:r>
    </w:p>
    <w:tbl>
      <w:tblPr>
        <w:tblStyle w:val="Rcsostblzat"/>
        <w:tblW w:w="0" w:type="auto"/>
        <w:tblInd w:w="425" w:type="dxa"/>
        <w:tblLook w:val="04A0" w:firstRow="1" w:lastRow="0" w:firstColumn="1" w:lastColumn="0" w:noHBand="0" w:noVBand="1"/>
      </w:tblPr>
      <w:tblGrid>
        <w:gridCol w:w="8862"/>
      </w:tblGrid>
      <w:tr w:rsidR="00920CB0" w:rsidTr="00AB09CC">
        <w:tc>
          <w:tcPr>
            <w:tcW w:w="8862" w:type="dxa"/>
            <w:tcBorders>
              <w:bottom w:val="single" w:sz="4" w:space="0" w:color="auto"/>
            </w:tcBorders>
            <w:shd w:val="clear" w:color="auto" w:fill="FFC000"/>
          </w:tcPr>
          <w:p w:rsidR="00920CB0" w:rsidRPr="00920CB0" w:rsidRDefault="00920CB0" w:rsidP="00920CB0">
            <w:pPr>
              <w:pStyle w:val="Listaszerbekezds"/>
              <w:spacing w:before="240"/>
              <w:ind w:left="360"/>
              <w:rPr>
                <w:b/>
                <w:i/>
              </w:rPr>
            </w:pPr>
            <w:r w:rsidRPr="00920CB0">
              <w:rPr>
                <w:b/>
                <w:i/>
              </w:rPr>
              <w:lastRenderedPageBreak/>
              <w:t>Concorde Columbus Származtatott Befektetési Alap</w:t>
            </w:r>
          </w:p>
        </w:tc>
      </w:tr>
      <w:tr w:rsidR="00920CB0" w:rsidTr="00AB09CC">
        <w:tc>
          <w:tcPr>
            <w:tcW w:w="8862" w:type="dxa"/>
            <w:shd w:val="clear" w:color="auto" w:fill="D9D9D9" w:themeFill="background1" w:themeFillShade="D9"/>
          </w:tcPr>
          <w:p w:rsidR="00920CB0" w:rsidRDefault="00920CB0" w:rsidP="00920CB0">
            <w:pPr>
              <w:spacing w:before="120"/>
              <w:ind w:left="425"/>
              <w:rPr>
                <w:b/>
                <w:i/>
              </w:rPr>
            </w:pPr>
            <w:r w:rsidRPr="002B39BF">
              <w:rPr>
                <w:i/>
              </w:rPr>
              <w:t>Befektetési stratégia, az összegyűjtött tőke felhasználásának célja</w:t>
            </w:r>
          </w:p>
        </w:tc>
      </w:tr>
      <w:tr w:rsidR="00920CB0" w:rsidTr="00AB09CC">
        <w:tc>
          <w:tcPr>
            <w:tcW w:w="8862" w:type="dxa"/>
            <w:tcBorders>
              <w:bottom w:val="single" w:sz="4" w:space="0" w:color="auto"/>
            </w:tcBorders>
          </w:tcPr>
          <w:p w:rsidR="00920CB0" w:rsidRDefault="00920CB0" w:rsidP="00920CB0">
            <w:pPr>
              <w:spacing w:before="120"/>
              <w:ind w:left="425"/>
            </w:pPr>
            <w:r>
              <w:t xml:space="preserve">Az Alap potenciális befektetési területe a lehető legszélesebb és globális: bankbetétek, hazai és nemzetközi részvények illetve kötvények, devizák, egyéb befektetési eszközök, valamint ezekre és árupiaci termékekre vonatkozó származtatott ügyletek. A hagyományos befektetési alapoktól a széles eszköztáron túl abban tér el, hogy nem csak emelkedő, de – akár short pozíciók felvételével – eső piacon is van lehetősége hozamot elérni. Az Alapkezelő törekszik arra, hogy az Alap összetételén belül a nemzetközi részvények aránya meghaladja az 50 százalékot. </w:t>
            </w:r>
          </w:p>
          <w:p w:rsidR="00920CB0" w:rsidRDefault="00920CB0" w:rsidP="00920CB0">
            <w:pPr>
              <w:spacing w:before="120"/>
              <w:ind w:left="425"/>
              <w:rPr>
                <w:b/>
                <w:i/>
              </w:rPr>
            </w:pPr>
            <w:r>
              <w:t xml:space="preserve">Az Alap célja az állampapírok által biztosított hozamnál nagyobb hozam elérése addicionális kockázat vállalása mellett. A többlethozam elérésének érdekében az Alap magasabb kockázatú instrumentumokat is vásárol és ad el, alapvetően fundamentális elemzésekre támaszkodva, de technikai alapú időzítést is figyelembe véve. Az Alapkezelő az egyes értékpapírok kiválasztásánál értékalapú szemléletet követ, alacsonyan árazott eszközöket vásárolva a portfólióba. Ennek érdekében az </w:t>
            </w:r>
            <w:proofErr w:type="gramStart"/>
            <w:r>
              <w:t>Alap jelentős</w:t>
            </w:r>
            <w:proofErr w:type="gramEnd"/>
            <w:r>
              <w:t xml:space="preserve"> mértékben fektet be alacsonyabb kapitalizációjú részvényekbe, ahol a kisebb elemzői lefedettség gyakrabban vezethet alulértékeltséghez. </w:t>
            </w:r>
          </w:p>
        </w:tc>
      </w:tr>
      <w:tr w:rsidR="00920CB0" w:rsidTr="00AB09CC">
        <w:tc>
          <w:tcPr>
            <w:tcW w:w="8862" w:type="dxa"/>
            <w:shd w:val="clear" w:color="auto" w:fill="D9D9D9" w:themeFill="background1" w:themeFillShade="D9"/>
          </w:tcPr>
          <w:p w:rsidR="00920CB0" w:rsidRPr="00920CB0" w:rsidRDefault="00920CB0" w:rsidP="00920CB0">
            <w:pPr>
              <w:spacing w:before="120"/>
              <w:ind w:left="425"/>
              <w:rPr>
                <w:i/>
              </w:rPr>
            </w:pPr>
            <w:r w:rsidRPr="002B39BF">
              <w:rPr>
                <w:i/>
              </w:rPr>
              <w:t>Referenciahozam (benchmark)</w:t>
            </w:r>
          </w:p>
        </w:tc>
      </w:tr>
      <w:tr w:rsidR="00920CB0" w:rsidTr="00AB09CC">
        <w:tc>
          <w:tcPr>
            <w:tcW w:w="8862" w:type="dxa"/>
            <w:tcBorders>
              <w:bottom w:val="single" w:sz="4" w:space="0" w:color="auto"/>
            </w:tcBorders>
          </w:tcPr>
          <w:p w:rsidR="00920CB0" w:rsidRDefault="00920CB0" w:rsidP="00920CB0">
            <w:pPr>
              <w:spacing w:before="120"/>
              <w:ind w:left="425"/>
              <w:rPr>
                <w:b/>
                <w:i/>
              </w:rPr>
            </w:pPr>
            <w:r>
              <w:t>A referenciahozam az RMAX index teljesítménye.</w:t>
            </w:r>
          </w:p>
        </w:tc>
      </w:tr>
      <w:tr w:rsidR="00920CB0" w:rsidTr="00AB09CC">
        <w:tc>
          <w:tcPr>
            <w:tcW w:w="8862" w:type="dxa"/>
            <w:shd w:val="clear" w:color="auto" w:fill="D9D9D9" w:themeFill="background1" w:themeFillShade="D9"/>
          </w:tcPr>
          <w:p w:rsidR="00920CB0" w:rsidRPr="00920CB0" w:rsidRDefault="00920CB0" w:rsidP="00920CB0">
            <w:pPr>
              <w:spacing w:before="120"/>
              <w:ind w:left="425"/>
              <w:rPr>
                <w:i/>
              </w:rPr>
            </w:pPr>
            <w:r w:rsidRPr="002B39BF">
              <w:rPr>
                <w:i/>
              </w:rPr>
              <w:t>Az Alap portfóliójának lehetséges elemei</w:t>
            </w:r>
          </w:p>
        </w:tc>
      </w:tr>
      <w:tr w:rsidR="00920CB0" w:rsidTr="00AB09CC">
        <w:tc>
          <w:tcPr>
            <w:tcW w:w="8862" w:type="dxa"/>
            <w:tcBorders>
              <w:bottom w:val="single" w:sz="4" w:space="0" w:color="auto"/>
            </w:tcBorders>
          </w:tcPr>
          <w:p w:rsidR="00920CB0" w:rsidRPr="00920CB0" w:rsidRDefault="00920CB0" w:rsidP="00920CB0">
            <w:pPr>
              <w:spacing w:before="120"/>
              <w:ind w:left="425"/>
            </w:pPr>
            <w:r>
              <w:t xml:space="preserve">Az Alap potenciális befektetési területe a lehető legszélesebb és globális: bankbetétek, hazai és nemzetközi részvények illetve kötvények, devizák, egyéb befektetési eszközök, valamint ezekre és árupiaci termékekre vonatkozó származtatott ügyletek. A hagyományos befektetési alapoktól a széles eszköztáron túl abban tér el, hogy nem csak emelkedő, de – akár short pozíciók felvételével – eső piacon is van lehetősége hozamot elérni. Az Alapkezelő törekszik arra, hogy az Alap összetételén belül a nemzetközi részvények aránya meghaladja az 50 százalékot. </w:t>
            </w:r>
          </w:p>
        </w:tc>
      </w:tr>
      <w:tr w:rsidR="00920CB0" w:rsidTr="00AB09CC">
        <w:tc>
          <w:tcPr>
            <w:tcW w:w="8862" w:type="dxa"/>
            <w:shd w:val="clear" w:color="auto" w:fill="D9D9D9" w:themeFill="background1" w:themeFillShade="D9"/>
          </w:tcPr>
          <w:p w:rsidR="00920CB0" w:rsidRPr="00920CB0" w:rsidRDefault="00920CB0" w:rsidP="00920CB0">
            <w:pPr>
              <w:spacing w:before="120"/>
              <w:ind w:left="425"/>
              <w:rPr>
                <w:i/>
              </w:rPr>
            </w:pPr>
            <w:r w:rsidRPr="002B39BF">
              <w:rPr>
                <w:i/>
              </w:rPr>
              <w:t>Az egyes eszközkategóriák minimális és maximális aránya:</w:t>
            </w:r>
          </w:p>
        </w:tc>
      </w:tr>
      <w:tr w:rsidR="00920CB0" w:rsidTr="00AB09CC">
        <w:tc>
          <w:tcPr>
            <w:tcW w:w="8862" w:type="dxa"/>
          </w:tcPr>
          <w:p w:rsidR="00920CB0" w:rsidRDefault="00920CB0" w:rsidP="00920CB0">
            <w:pPr>
              <w:tabs>
                <w:tab w:val="center" w:pos="5387"/>
                <w:tab w:val="center" w:pos="7797"/>
              </w:tabs>
              <w:spacing w:before="120"/>
              <w:ind w:left="425"/>
            </w:pPr>
            <w:r>
              <w:t>Eszközkategória</w:t>
            </w:r>
            <w:r>
              <w:tab/>
              <w:t>minimális részarány</w:t>
            </w:r>
            <w:r>
              <w:tab/>
              <w:t>maximális részarány</w:t>
            </w:r>
          </w:p>
          <w:p w:rsidR="00920CB0" w:rsidRDefault="00920CB0" w:rsidP="00920CB0">
            <w:pPr>
              <w:tabs>
                <w:tab w:val="center" w:pos="5387"/>
                <w:tab w:val="center" w:pos="7797"/>
              </w:tabs>
              <w:spacing w:before="120"/>
              <w:ind w:left="425"/>
            </w:pPr>
            <w:r>
              <w:t>Likvid eszközök azonnali fizetőképességhez:</w:t>
            </w:r>
            <w:r>
              <w:tab/>
              <w:t>0%</w:t>
            </w:r>
            <w:r>
              <w:tab/>
              <w:t>100%</w:t>
            </w:r>
          </w:p>
          <w:p w:rsidR="00920CB0" w:rsidRDefault="00920CB0" w:rsidP="00920CB0">
            <w:pPr>
              <w:tabs>
                <w:tab w:val="center" w:pos="5387"/>
                <w:tab w:val="center" w:pos="7797"/>
              </w:tabs>
              <w:spacing w:before="120"/>
              <w:ind w:left="425"/>
            </w:pPr>
            <w:r>
              <w:t>Bankbetét:</w:t>
            </w:r>
            <w:r>
              <w:tab/>
              <w:t>0%</w:t>
            </w:r>
            <w:r>
              <w:tab/>
              <w:t>100%</w:t>
            </w:r>
          </w:p>
          <w:p w:rsidR="00920CB0" w:rsidRDefault="00920CB0" w:rsidP="00920CB0">
            <w:pPr>
              <w:tabs>
                <w:tab w:val="center" w:pos="5387"/>
                <w:tab w:val="center" w:pos="7797"/>
              </w:tabs>
              <w:spacing w:before="120"/>
              <w:ind w:left="425"/>
            </w:pPr>
            <w:r>
              <w:t>Belföldi befektetési eszközök:</w:t>
            </w:r>
            <w:r>
              <w:tab/>
              <w:t>-200%</w:t>
            </w:r>
            <w:r>
              <w:tab/>
              <w:t>200%</w:t>
            </w:r>
          </w:p>
          <w:p w:rsidR="00920CB0" w:rsidRDefault="00920CB0" w:rsidP="00920CB0">
            <w:pPr>
              <w:tabs>
                <w:tab w:val="center" w:pos="5387"/>
                <w:tab w:val="center" w:pos="7797"/>
              </w:tabs>
              <w:spacing w:before="120"/>
              <w:ind w:left="425"/>
            </w:pPr>
            <w:r>
              <w:t>Külföldi pénzügyi eszközök:</w:t>
            </w:r>
            <w:r>
              <w:tab/>
              <w:t>-200%</w:t>
            </w:r>
            <w:r>
              <w:tab/>
              <w:t>200%</w:t>
            </w:r>
          </w:p>
          <w:p w:rsidR="00920CB0" w:rsidRDefault="00920CB0" w:rsidP="00920CB0">
            <w:pPr>
              <w:tabs>
                <w:tab w:val="center" w:pos="5387"/>
                <w:tab w:val="center" w:pos="7797"/>
              </w:tabs>
              <w:spacing w:before="120"/>
              <w:ind w:left="425"/>
            </w:pPr>
            <w:r>
              <w:t>A nettó pozíciók abszolút értékeinek összege:</w:t>
            </w:r>
            <w:r>
              <w:tab/>
              <w:t>0%</w:t>
            </w:r>
            <w:r>
              <w:tab/>
              <w:t>200%</w:t>
            </w:r>
          </w:p>
          <w:p w:rsidR="00920CB0" w:rsidRDefault="00920CB0" w:rsidP="00920CB0">
            <w:pPr>
              <w:tabs>
                <w:tab w:val="center" w:pos="5387"/>
                <w:tab w:val="center" w:pos="7797"/>
              </w:tabs>
              <w:spacing w:before="120"/>
              <w:ind w:left="425"/>
            </w:pPr>
            <w:r>
              <w:t xml:space="preserve">Tőzsdei árualapú származtatott ügyletek </w:t>
            </w:r>
          </w:p>
          <w:p w:rsidR="00920CB0" w:rsidRDefault="00920CB0" w:rsidP="00920CB0">
            <w:pPr>
              <w:tabs>
                <w:tab w:val="center" w:pos="5387"/>
                <w:tab w:val="center" w:pos="7797"/>
              </w:tabs>
              <w:spacing w:before="120"/>
              <w:ind w:left="425"/>
            </w:pPr>
            <w:r>
              <w:t>(árfolyamértéken):</w:t>
            </w:r>
            <w:r>
              <w:tab/>
              <w:t>-200%</w:t>
            </w:r>
            <w:r>
              <w:tab/>
              <w:t>200%</w:t>
            </w:r>
          </w:p>
          <w:p w:rsidR="00AB09CC" w:rsidRDefault="00AB09CC" w:rsidP="00AB09CC">
            <w:pPr>
              <w:tabs>
                <w:tab w:val="center" w:pos="5387"/>
                <w:tab w:val="center" w:pos="7797"/>
              </w:tabs>
              <w:spacing w:before="120"/>
              <w:ind w:left="425"/>
            </w:pPr>
            <w:r>
              <w:t>Tőzsdére be nem vezetett n</w:t>
            </w:r>
            <w:r w:rsidR="00920CB0">
              <w:t xml:space="preserve">yilvános nyíltvégű </w:t>
            </w:r>
          </w:p>
          <w:p w:rsidR="00920CB0" w:rsidRPr="00920CB0" w:rsidRDefault="00920CB0" w:rsidP="00AB09CC">
            <w:pPr>
              <w:tabs>
                <w:tab w:val="center" w:pos="5387"/>
                <w:tab w:val="center" w:pos="7797"/>
              </w:tabs>
              <w:spacing w:before="120"/>
              <w:ind w:left="425"/>
            </w:pPr>
            <w:r>
              <w:t>kollektív befektetési értékpapírok:</w:t>
            </w:r>
            <w:r>
              <w:tab/>
              <w:t>0%</w:t>
            </w:r>
            <w:r>
              <w:tab/>
              <w:t>10%</w:t>
            </w:r>
          </w:p>
        </w:tc>
      </w:tr>
      <w:tr w:rsidR="00920CB0" w:rsidTr="00AB09CC">
        <w:tc>
          <w:tcPr>
            <w:tcW w:w="8862" w:type="dxa"/>
          </w:tcPr>
          <w:p w:rsidR="00920CB0" w:rsidRPr="00920CB0" w:rsidRDefault="00920CB0" w:rsidP="00920CB0">
            <w:pPr>
              <w:spacing w:before="120"/>
              <w:ind w:left="425"/>
            </w:pPr>
            <w:r>
              <w:t>Az Alap harminc százalékot meghaladó mértékben fektethet bármilyen devizában denominált értékpapírba.</w:t>
            </w:r>
          </w:p>
        </w:tc>
      </w:tr>
      <w:tr w:rsidR="00920CB0" w:rsidTr="00AB09CC">
        <w:tc>
          <w:tcPr>
            <w:tcW w:w="8862" w:type="dxa"/>
          </w:tcPr>
          <w:p w:rsidR="00920CB0" w:rsidRPr="00920CB0" w:rsidRDefault="00920CB0" w:rsidP="00920CB0">
            <w:pPr>
              <w:spacing w:before="120"/>
              <w:ind w:left="425"/>
            </w:pPr>
            <w:proofErr w:type="gramStart"/>
            <w:r>
              <w:t>Az Alap befektetési politikája alapján több intézménnyel (Concorde Értékpapír Zrt., UniCredit Bank Zrt., OTP Bank Nyrt., Deutsche Bank Zrt., Citibank Europe plc Magyarországi Fióktelepe, Raiffeisen Bank Zrt.) szembeni, az adott intézmény által kibocsátott átruházható értékpapírba vagy pénzpiaci eszközbe történő befektetésekből, az adott intézménnyel kötött OTC származtatott ügyletekből eredő összevont kockázati kitettség meghaladhatja az Alap eszközeinek 20 százalékát, ami megnöveli az Alapban a partnerkockázatot.</w:t>
            </w:r>
            <w:proofErr w:type="gramEnd"/>
          </w:p>
        </w:tc>
      </w:tr>
    </w:tbl>
    <w:p w:rsidR="00920CB0" w:rsidRDefault="00920CB0">
      <w:r>
        <w:br w:type="page"/>
      </w:r>
    </w:p>
    <w:tbl>
      <w:tblPr>
        <w:tblStyle w:val="Rcsostblzat"/>
        <w:tblW w:w="0" w:type="auto"/>
        <w:tblInd w:w="425" w:type="dxa"/>
        <w:tblLook w:val="04A0" w:firstRow="1" w:lastRow="0" w:firstColumn="1" w:lastColumn="0" w:noHBand="0" w:noVBand="1"/>
      </w:tblPr>
      <w:tblGrid>
        <w:gridCol w:w="8862"/>
      </w:tblGrid>
      <w:tr w:rsidR="00920CB0" w:rsidTr="00920CB0">
        <w:tc>
          <w:tcPr>
            <w:tcW w:w="8862" w:type="dxa"/>
            <w:tcBorders>
              <w:bottom w:val="single" w:sz="4" w:space="0" w:color="auto"/>
            </w:tcBorders>
            <w:shd w:val="clear" w:color="auto" w:fill="FFC000"/>
          </w:tcPr>
          <w:p w:rsidR="00920CB0" w:rsidRPr="00920CB0" w:rsidRDefault="00920CB0" w:rsidP="00172A57">
            <w:pPr>
              <w:pStyle w:val="Listaszerbekezds"/>
              <w:spacing w:before="240"/>
              <w:ind w:left="360"/>
              <w:rPr>
                <w:b/>
                <w:i/>
              </w:rPr>
            </w:pPr>
            <w:r w:rsidRPr="00920CB0">
              <w:rPr>
                <w:b/>
                <w:i/>
              </w:rPr>
              <w:lastRenderedPageBreak/>
              <w:t>Concorde-VM Abszolút Származtatott Befektetési Alap</w:t>
            </w:r>
          </w:p>
        </w:tc>
      </w:tr>
      <w:tr w:rsidR="00920CB0" w:rsidTr="00920CB0">
        <w:tc>
          <w:tcPr>
            <w:tcW w:w="8862" w:type="dxa"/>
            <w:shd w:val="clear" w:color="auto" w:fill="D9D9D9" w:themeFill="background1" w:themeFillShade="D9"/>
          </w:tcPr>
          <w:p w:rsidR="00920CB0" w:rsidRDefault="00920CB0" w:rsidP="00172A57">
            <w:pPr>
              <w:spacing w:before="120"/>
              <w:ind w:left="425"/>
              <w:rPr>
                <w:b/>
                <w:i/>
              </w:rPr>
            </w:pPr>
            <w:r w:rsidRPr="002B39BF">
              <w:rPr>
                <w:i/>
              </w:rPr>
              <w:t>Befektetési stratégia, az összegyűjtött tőke felhasználásának célja</w:t>
            </w:r>
          </w:p>
        </w:tc>
      </w:tr>
      <w:tr w:rsidR="00920CB0" w:rsidTr="00920CB0">
        <w:tc>
          <w:tcPr>
            <w:tcW w:w="8862" w:type="dxa"/>
            <w:tcBorders>
              <w:bottom w:val="single" w:sz="4" w:space="0" w:color="auto"/>
            </w:tcBorders>
          </w:tcPr>
          <w:p w:rsidR="00920CB0" w:rsidRDefault="00AB09CC" w:rsidP="00920CB0">
            <w:pPr>
              <w:spacing w:before="120"/>
              <w:ind w:left="425"/>
            </w:pPr>
            <w:r>
              <w:t>A Concorde</w:t>
            </w:r>
            <w:r w:rsidR="00920CB0">
              <w:t xml:space="preserve"> Alapkezelő </w:t>
            </w:r>
            <w:r>
              <w:t xml:space="preserve">zrt. </w:t>
            </w:r>
            <w:r w:rsidR="00920CB0">
              <w:t>az Alapot érintő befektetési döntése</w:t>
            </w:r>
            <w:r>
              <w:t>k meghozatalát kiszervezte</w:t>
            </w:r>
            <w:r w:rsidR="00920CB0">
              <w:t xml:space="preserve"> a VM és VM </w:t>
            </w:r>
            <w:r>
              <w:t xml:space="preserve">Befektetési Alapkezelő </w:t>
            </w:r>
            <w:r w:rsidR="00920CB0">
              <w:t>Zrt.</w:t>
            </w:r>
            <w:r>
              <w:t>-nek</w:t>
            </w:r>
            <w:r w:rsidR="00920CB0">
              <w:t xml:space="preserve"> (2000, Szentendre, Mandula u. 8</w:t>
            </w:r>
            <w:proofErr w:type="gramStart"/>
            <w:r w:rsidR="00920CB0">
              <w:t>.,</w:t>
            </w:r>
            <w:proofErr w:type="gramEnd"/>
            <w:r w:rsidR="00920CB0">
              <w:t xml:space="preserve"> </w:t>
            </w:r>
            <w:r>
              <w:t xml:space="preserve">korábbi nevén </w:t>
            </w:r>
            <w:r w:rsidR="00920CB0">
              <w:t xml:space="preserve">a VM és VM </w:t>
            </w:r>
            <w:r>
              <w:t>Zrt</w:t>
            </w:r>
            <w:r w:rsidR="00920CB0">
              <w:t xml:space="preserve">., a Vakmajom Kft. Jogutódja). A befektetési </w:t>
            </w:r>
            <w:r>
              <w:t>döntések meghozataláért</w:t>
            </w:r>
            <w:r w:rsidR="00920CB0">
              <w:t xml:space="preserve"> az Alap a VM és VM </w:t>
            </w:r>
            <w:r>
              <w:t xml:space="preserve">Befektetési Alapkezelő </w:t>
            </w:r>
            <w:r w:rsidR="00920CB0">
              <w:t>Zrt</w:t>
            </w:r>
            <w:r>
              <w:t>.</w:t>
            </w:r>
            <w:r w:rsidR="00920CB0">
              <w:t xml:space="preserve">-nek </w:t>
            </w:r>
            <w:r>
              <w:t xml:space="preserve">díjat fizet, mely </w:t>
            </w:r>
            <w:r w:rsidR="00920CB0">
              <w:t>sikerdíj</w:t>
            </w:r>
            <w:r>
              <w:t>ból és fix díjból áll. Utóbbi az alapkezelési díj egy része.</w:t>
            </w:r>
          </w:p>
          <w:p w:rsidR="00920CB0" w:rsidRDefault="00920CB0" w:rsidP="000A0C1D">
            <w:pPr>
              <w:spacing w:before="120"/>
              <w:ind w:left="425"/>
              <w:rPr>
                <w:b/>
                <w:i/>
              </w:rPr>
            </w:pPr>
            <w:r>
              <w:t>A befektetési döntéseket a</w:t>
            </w:r>
            <w:r w:rsidR="00AB09CC">
              <w:t xml:space="preserve"> VM és VM Befektetési</w:t>
            </w:r>
            <w:r>
              <w:t xml:space="preserve"> Alapkezelő </w:t>
            </w:r>
            <w:r w:rsidR="00AB09CC">
              <w:t xml:space="preserve">Zrt. </w:t>
            </w:r>
            <w:r>
              <w:t xml:space="preserve">technikai alapon hozza, az instrumentumok kiválasztásában kisebb súllyal fundamentális szempontok is szerepet kaphatnak. </w:t>
            </w:r>
            <w:r w:rsidR="000A0C1D">
              <w:t>A</w:t>
            </w:r>
            <w:r w:rsidR="00AB09CC">
              <w:t xml:space="preserve"> VM és VM Befektetési Alapkezelő Zrt. </w:t>
            </w:r>
            <w:r>
              <w:t>az alacsony kockázatú instrumentumokra (bankbetét, rövid lejáratú állampapír) mint alapvető és kiinduló befektetésre tekint. Az Alap célja az állampapírok által biztosított hozamnál nagyobb hozam elérése addicionális kockázat vállalása mellett. A többlethozam elérésének érdekében az Alap magasabb kockázatú instrumentumokat is vásárol és ad el, alapvetően technikai alapú időzítéssel, az eszközöket szele</w:t>
            </w:r>
            <w:r w:rsidR="000A0C1D">
              <w:t>ktíven kiválasztva. Ha viszont</w:t>
            </w:r>
            <w:r>
              <w:t xml:space="preserve"> </w:t>
            </w:r>
            <w:r w:rsidR="000A0C1D">
              <w:t xml:space="preserve">a VM és VM Befektetési Alapkezelő Zrt. </w:t>
            </w:r>
            <w:r>
              <w:t>nem lát megfelelő lehetőséget magasabb kockázatú instrumentumokban, akkor alacsony kockázatú eszközökbe fekteti az Alap tőkéjét, egészen addig, amíg jó vételi vagy eladási lehetőségek nem adódnak.</w:t>
            </w:r>
          </w:p>
        </w:tc>
      </w:tr>
      <w:tr w:rsidR="00920CB0" w:rsidTr="00920CB0">
        <w:tc>
          <w:tcPr>
            <w:tcW w:w="8862" w:type="dxa"/>
            <w:shd w:val="clear" w:color="auto" w:fill="D9D9D9" w:themeFill="background1" w:themeFillShade="D9"/>
          </w:tcPr>
          <w:p w:rsidR="00920CB0" w:rsidRPr="00920CB0" w:rsidRDefault="00920CB0" w:rsidP="00172A57">
            <w:pPr>
              <w:spacing w:before="120"/>
              <w:ind w:left="425"/>
              <w:rPr>
                <w:i/>
              </w:rPr>
            </w:pPr>
            <w:r w:rsidRPr="002B39BF">
              <w:rPr>
                <w:i/>
              </w:rPr>
              <w:t>Referenciahozam (benchmark)</w:t>
            </w:r>
          </w:p>
        </w:tc>
      </w:tr>
      <w:tr w:rsidR="00920CB0" w:rsidTr="00920CB0">
        <w:tc>
          <w:tcPr>
            <w:tcW w:w="8862" w:type="dxa"/>
            <w:tcBorders>
              <w:bottom w:val="single" w:sz="4" w:space="0" w:color="auto"/>
            </w:tcBorders>
          </w:tcPr>
          <w:p w:rsidR="00920CB0" w:rsidRDefault="00920CB0" w:rsidP="00172A57">
            <w:pPr>
              <w:spacing w:before="120"/>
              <w:ind w:left="425"/>
              <w:rPr>
                <w:b/>
                <w:i/>
              </w:rPr>
            </w:pPr>
            <w:r>
              <w:t>A referenciahozam az RMAX index teljesítménye.</w:t>
            </w:r>
          </w:p>
        </w:tc>
      </w:tr>
      <w:tr w:rsidR="00920CB0" w:rsidTr="00920CB0">
        <w:tc>
          <w:tcPr>
            <w:tcW w:w="8862" w:type="dxa"/>
            <w:shd w:val="clear" w:color="auto" w:fill="D9D9D9" w:themeFill="background1" w:themeFillShade="D9"/>
          </w:tcPr>
          <w:p w:rsidR="00920CB0" w:rsidRPr="00920CB0" w:rsidRDefault="00920CB0" w:rsidP="00172A57">
            <w:pPr>
              <w:spacing w:before="120"/>
              <w:ind w:left="425"/>
              <w:rPr>
                <w:i/>
              </w:rPr>
            </w:pPr>
            <w:r w:rsidRPr="002B39BF">
              <w:rPr>
                <w:i/>
              </w:rPr>
              <w:t>Az Alap portfóliójának lehetséges elemei</w:t>
            </w:r>
          </w:p>
        </w:tc>
      </w:tr>
      <w:tr w:rsidR="00920CB0" w:rsidTr="00920CB0">
        <w:tc>
          <w:tcPr>
            <w:tcW w:w="8862" w:type="dxa"/>
            <w:tcBorders>
              <w:bottom w:val="single" w:sz="4" w:space="0" w:color="auto"/>
            </w:tcBorders>
          </w:tcPr>
          <w:p w:rsidR="00920CB0" w:rsidRPr="00920CB0" w:rsidRDefault="00920CB0" w:rsidP="00172A57">
            <w:pPr>
              <w:spacing w:before="120"/>
              <w:ind w:left="425"/>
            </w:pPr>
            <w:r w:rsidRPr="00920CB0">
              <w:t>Az Alap potenciális befektetési területe a lehető legszélesebb és globális: bankbetétek, hazai és nemzetközi részvények illetve kötvények, devizák, egyéb befektetési eszközök valamint ezekre és árupiaci termékekre vonatkozó származtatott ügyletek. A hagyományos befektetési alapoktól a széles eszköztáron túl abban tér el, hogy nem csak emelkedő, de eső piacon is van lehetősége hozamot elérni.</w:t>
            </w:r>
          </w:p>
        </w:tc>
      </w:tr>
      <w:tr w:rsidR="00920CB0" w:rsidTr="00920CB0">
        <w:tc>
          <w:tcPr>
            <w:tcW w:w="8862" w:type="dxa"/>
            <w:shd w:val="clear" w:color="auto" w:fill="D9D9D9" w:themeFill="background1" w:themeFillShade="D9"/>
          </w:tcPr>
          <w:p w:rsidR="00920CB0" w:rsidRPr="00920CB0" w:rsidRDefault="00920CB0" w:rsidP="00172A57">
            <w:pPr>
              <w:spacing w:before="120"/>
              <w:ind w:left="425"/>
              <w:rPr>
                <w:i/>
              </w:rPr>
            </w:pPr>
            <w:r w:rsidRPr="002B39BF">
              <w:rPr>
                <w:i/>
              </w:rPr>
              <w:t>Az egyes eszközkategóriák minimális és maximális aránya:</w:t>
            </w:r>
          </w:p>
        </w:tc>
      </w:tr>
      <w:tr w:rsidR="00920CB0" w:rsidTr="00920CB0">
        <w:tc>
          <w:tcPr>
            <w:tcW w:w="8862" w:type="dxa"/>
          </w:tcPr>
          <w:p w:rsidR="00920CB0" w:rsidRDefault="00920CB0" w:rsidP="00172A57">
            <w:pPr>
              <w:tabs>
                <w:tab w:val="center" w:pos="5387"/>
                <w:tab w:val="center" w:pos="7797"/>
              </w:tabs>
              <w:spacing w:before="120"/>
              <w:ind w:left="425"/>
            </w:pPr>
            <w:r>
              <w:t>Eszközkategória</w:t>
            </w:r>
            <w:r>
              <w:tab/>
              <w:t>minimális részarány</w:t>
            </w:r>
            <w:r>
              <w:tab/>
              <w:t>maximális részarány</w:t>
            </w:r>
          </w:p>
          <w:p w:rsidR="00920CB0" w:rsidRDefault="00920CB0" w:rsidP="00172A57">
            <w:pPr>
              <w:tabs>
                <w:tab w:val="center" w:pos="5387"/>
                <w:tab w:val="center" w:pos="7797"/>
              </w:tabs>
              <w:spacing w:before="120"/>
              <w:ind w:left="425"/>
            </w:pPr>
            <w:r>
              <w:t>Likvid eszközök azonnali fizetőképességhez:</w:t>
            </w:r>
            <w:r>
              <w:tab/>
              <w:t>0%</w:t>
            </w:r>
            <w:r>
              <w:tab/>
              <w:t>100%</w:t>
            </w:r>
          </w:p>
          <w:p w:rsidR="00920CB0" w:rsidRDefault="00920CB0" w:rsidP="00172A57">
            <w:pPr>
              <w:tabs>
                <w:tab w:val="center" w:pos="5387"/>
                <w:tab w:val="center" w:pos="7797"/>
              </w:tabs>
              <w:spacing w:before="120"/>
              <w:ind w:left="425"/>
            </w:pPr>
            <w:r>
              <w:t>Bankbetét:</w:t>
            </w:r>
            <w:r>
              <w:tab/>
              <w:t>0%</w:t>
            </w:r>
            <w:r>
              <w:tab/>
              <w:t>100%</w:t>
            </w:r>
          </w:p>
          <w:p w:rsidR="00920CB0" w:rsidRDefault="00920CB0" w:rsidP="00172A57">
            <w:pPr>
              <w:tabs>
                <w:tab w:val="center" w:pos="5387"/>
                <w:tab w:val="center" w:pos="7797"/>
              </w:tabs>
              <w:spacing w:before="120"/>
              <w:ind w:left="425"/>
            </w:pPr>
            <w:r>
              <w:t>Belföldi befektetési eszközök:</w:t>
            </w:r>
            <w:r>
              <w:tab/>
              <w:t>-200%</w:t>
            </w:r>
            <w:r>
              <w:tab/>
              <w:t>200%</w:t>
            </w:r>
          </w:p>
          <w:p w:rsidR="00920CB0" w:rsidRDefault="00920CB0" w:rsidP="00172A57">
            <w:pPr>
              <w:tabs>
                <w:tab w:val="center" w:pos="5387"/>
                <w:tab w:val="center" w:pos="7797"/>
              </w:tabs>
              <w:spacing w:before="120"/>
              <w:ind w:left="425"/>
            </w:pPr>
            <w:r>
              <w:t>Külföldi pénzügyi eszközök:</w:t>
            </w:r>
            <w:r>
              <w:tab/>
              <w:t>-200%</w:t>
            </w:r>
            <w:r>
              <w:tab/>
              <w:t>200%</w:t>
            </w:r>
          </w:p>
          <w:p w:rsidR="00920CB0" w:rsidRDefault="00920CB0" w:rsidP="00172A57">
            <w:pPr>
              <w:tabs>
                <w:tab w:val="center" w:pos="5387"/>
                <w:tab w:val="center" w:pos="7797"/>
              </w:tabs>
              <w:spacing w:before="120"/>
              <w:ind w:left="425"/>
            </w:pPr>
            <w:r>
              <w:t>A nettó pozíciók abszolút értékeinek összege:</w:t>
            </w:r>
            <w:r>
              <w:tab/>
              <w:t>0%</w:t>
            </w:r>
            <w:r>
              <w:tab/>
              <w:t>200%</w:t>
            </w:r>
          </w:p>
          <w:p w:rsidR="00920CB0" w:rsidRDefault="00920CB0" w:rsidP="00172A57">
            <w:pPr>
              <w:tabs>
                <w:tab w:val="center" w:pos="5387"/>
                <w:tab w:val="center" w:pos="7797"/>
              </w:tabs>
              <w:spacing w:before="120"/>
              <w:ind w:left="425"/>
            </w:pPr>
            <w:r>
              <w:t xml:space="preserve">Tőzsdei árualapú származtatott ügyletek </w:t>
            </w:r>
          </w:p>
          <w:p w:rsidR="00920CB0" w:rsidRDefault="00920CB0" w:rsidP="00172A57">
            <w:pPr>
              <w:tabs>
                <w:tab w:val="center" w:pos="5387"/>
                <w:tab w:val="center" w:pos="7797"/>
              </w:tabs>
              <w:spacing w:before="120"/>
              <w:ind w:left="425"/>
            </w:pPr>
            <w:r>
              <w:t>(árfolyamértéken):</w:t>
            </w:r>
            <w:r>
              <w:tab/>
              <w:t>-200%</w:t>
            </w:r>
            <w:r>
              <w:tab/>
              <w:t>200%</w:t>
            </w:r>
          </w:p>
          <w:p w:rsidR="000A0C1D" w:rsidRDefault="000A0C1D" w:rsidP="000A0C1D">
            <w:pPr>
              <w:tabs>
                <w:tab w:val="center" w:pos="5387"/>
                <w:tab w:val="center" w:pos="7797"/>
              </w:tabs>
              <w:spacing w:before="120"/>
              <w:ind w:left="425"/>
            </w:pPr>
            <w:r>
              <w:t>Tőzsdére be nem vezetett n</w:t>
            </w:r>
            <w:r w:rsidR="00920CB0">
              <w:t xml:space="preserve">yilvános nyíltvégű </w:t>
            </w:r>
          </w:p>
          <w:p w:rsidR="00920CB0" w:rsidRPr="00920CB0" w:rsidRDefault="00920CB0" w:rsidP="000A0C1D">
            <w:pPr>
              <w:tabs>
                <w:tab w:val="center" w:pos="5387"/>
                <w:tab w:val="center" w:pos="7797"/>
              </w:tabs>
              <w:spacing w:before="120"/>
              <w:ind w:left="425"/>
            </w:pPr>
            <w:r>
              <w:t>kollektív befektetési értékpapírok:</w:t>
            </w:r>
            <w:r>
              <w:tab/>
              <w:t>0%</w:t>
            </w:r>
            <w:r>
              <w:tab/>
              <w:t>10%</w:t>
            </w:r>
          </w:p>
        </w:tc>
      </w:tr>
      <w:tr w:rsidR="00920CB0" w:rsidTr="00920CB0">
        <w:tc>
          <w:tcPr>
            <w:tcW w:w="8862" w:type="dxa"/>
          </w:tcPr>
          <w:p w:rsidR="00920CB0" w:rsidRPr="00920CB0" w:rsidRDefault="00920CB0" w:rsidP="00172A57">
            <w:pPr>
              <w:spacing w:before="120"/>
              <w:ind w:left="425"/>
            </w:pPr>
            <w:r w:rsidRPr="00920CB0">
              <w:t>Az Alap harminc százalékot meghaladó mértékben fektethet bármilyen devizában denominált értékpapírba.</w:t>
            </w:r>
          </w:p>
        </w:tc>
      </w:tr>
      <w:tr w:rsidR="00920CB0" w:rsidTr="00920CB0">
        <w:tc>
          <w:tcPr>
            <w:tcW w:w="8862" w:type="dxa"/>
          </w:tcPr>
          <w:p w:rsidR="00920CB0" w:rsidRPr="00920CB0" w:rsidRDefault="00920CB0" w:rsidP="00172A57">
            <w:pPr>
              <w:spacing w:before="120"/>
              <w:ind w:left="425"/>
            </w:pPr>
            <w:proofErr w:type="gramStart"/>
            <w:r>
              <w:t>Az Alap befektetési politikája alapján több intézménnyel (Concorde Értékpapír Zrt., UniCredit Bank Zrt., OTP Bank Nyrt., Deutsche Bank Zrt., Citibank Europe plc Magyarországi Fióktelepe, Raiffeisen Bank Zrt.) szembeni, az adott intézmény által kibocsátott átruházható értékpapírba vagy pénzpiaci eszközbe történő befektetésekből, az adott intézménnyel kötött OTC származtatott ügyletekből eredő összevont kockázati kitettség meghaladhatja az Alap eszközeinek 20 százalékát, ami megnöveli az Alapban a partnerkockázatot.</w:t>
            </w:r>
            <w:proofErr w:type="gramEnd"/>
          </w:p>
        </w:tc>
      </w:tr>
    </w:tbl>
    <w:p w:rsidR="00AB09CC" w:rsidRDefault="00AB09CC">
      <w:r>
        <w:br w:type="page"/>
      </w:r>
    </w:p>
    <w:tbl>
      <w:tblPr>
        <w:tblStyle w:val="Rcsostblzat"/>
        <w:tblW w:w="0" w:type="auto"/>
        <w:tblInd w:w="425" w:type="dxa"/>
        <w:tblLook w:val="04A0" w:firstRow="1" w:lastRow="0" w:firstColumn="1" w:lastColumn="0" w:noHBand="0" w:noVBand="1"/>
      </w:tblPr>
      <w:tblGrid>
        <w:gridCol w:w="8862"/>
      </w:tblGrid>
      <w:tr w:rsidR="00920CB0" w:rsidTr="00172A57">
        <w:tc>
          <w:tcPr>
            <w:tcW w:w="8862" w:type="dxa"/>
            <w:tcBorders>
              <w:bottom w:val="single" w:sz="4" w:space="0" w:color="auto"/>
            </w:tcBorders>
            <w:shd w:val="clear" w:color="auto" w:fill="FFC000"/>
          </w:tcPr>
          <w:p w:rsidR="00920CB0" w:rsidRPr="00920CB0" w:rsidRDefault="00920CB0" w:rsidP="00172A57">
            <w:pPr>
              <w:pStyle w:val="Listaszerbekezds"/>
              <w:spacing w:before="240"/>
              <w:ind w:left="360"/>
              <w:rPr>
                <w:b/>
                <w:i/>
              </w:rPr>
            </w:pPr>
            <w:r w:rsidRPr="00920CB0">
              <w:rPr>
                <w:b/>
                <w:i/>
              </w:rPr>
              <w:lastRenderedPageBreak/>
              <w:t>Citadella Származtatott Befektetési Alap</w:t>
            </w:r>
          </w:p>
        </w:tc>
      </w:tr>
      <w:tr w:rsidR="00920CB0" w:rsidTr="00172A57">
        <w:tc>
          <w:tcPr>
            <w:tcW w:w="8862" w:type="dxa"/>
            <w:shd w:val="clear" w:color="auto" w:fill="D9D9D9" w:themeFill="background1" w:themeFillShade="D9"/>
          </w:tcPr>
          <w:p w:rsidR="00920CB0" w:rsidRDefault="00920CB0" w:rsidP="00172A57">
            <w:pPr>
              <w:spacing w:before="120"/>
              <w:ind w:left="425"/>
              <w:rPr>
                <w:b/>
                <w:i/>
              </w:rPr>
            </w:pPr>
            <w:r w:rsidRPr="002B39BF">
              <w:rPr>
                <w:i/>
              </w:rPr>
              <w:t>Befektetési stratégia, az összegyűjtött tőke felhasználásának célja</w:t>
            </w:r>
          </w:p>
        </w:tc>
      </w:tr>
      <w:tr w:rsidR="00920CB0" w:rsidTr="00172A57">
        <w:tc>
          <w:tcPr>
            <w:tcW w:w="8862" w:type="dxa"/>
            <w:tcBorders>
              <w:bottom w:val="single" w:sz="4" w:space="0" w:color="auto"/>
            </w:tcBorders>
          </w:tcPr>
          <w:p w:rsidR="00920CB0" w:rsidRDefault="00920CB0" w:rsidP="00920CB0">
            <w:pPr>
              <w:spacing w:before="120"/>
              <w:ind w:left="425"/>
            </w:pPr>
            <w:r>
              <w:t xml:space="preserve">Az Alap célja hosszú távon az állampapírok által biztosított hozamnál jelentősen nagyobb hozam elérése addicionális kockázat vállalása mellett, döntően a határidős piacokon történő spekulatív középtávú pozíciók segítségével. A többlethozam elérésének érdekében az Alap magasabb kockázatú instrumentumokat is vásárol és ad el, alapvetően globális </w:t>
            </w:r>
            <w:proofErr w:type="gramStart"/>
            <w:r>
              <w:t>makro-fundamentális elképzelésekre</w:t>
            </w:r>
            <w:proofErr w:type="gramEnd"/>
            <w:r>
              <w:t xml:space="preserve"> támaszkodva, erőteljesen használva a technikai elemzés fegyvertárát is. Az Alap szigorú kockázatkezelést kíván folytatni: a veszteséges pozícióktól való mihamarabbi megszabadulás, és a nyereséges pozíciók megőrzése / növelése ebben a tekintetben a legfontosabb alapelv. Tekintve, hogy az Alap tőkeáttételt is felvehet, és rövid (eladási) pozíciókat is nyithat, ezért az Alap kockázata magasabb lehet, mint egy átlagos részvényalapé.</w:t>
            </w:r>
          </w:p>
          <w:p w:rsidR="006F393C" w:rsidRDefault="006F393C" w:rsidP="006F393C">
            <w:pPr>
              <w:spacing w:before="120"/>
              <w:ind w:left="425"/>
              <w:rPr>
                <w:b/>
                <w:i/>
              </w:rPr>
            </w:pPr>
            <w:r w:rsidRPr="006F393C">
              <w:t>A Concorde Alapkezelő az Alap befektetési döntéshozatalát a Hold Alapkezelő Zrt.-nek (1123 Budapest, Alkotás</w:t>
            </w:r>
            <w:r>
              <w:t xml:space="preserve"> </w:t>
            </w:r>
            <w:r w:rsidRPr="006F393C">
              <w:t>utca 50.) adta át 2012. április 1-jétől.</w:t>
            </w:r>
          </w:p>
        </w:tc>
      </w:tr>
      <w:tr w:rsidR="00920CB0" w:rsidTr="00172A57">
        <w:tc>
          <w:tcPr>
            <w:tcW w:w="8862" w:type="dxa"/>
            <w:shd w:val="clear" w:color="auto" w:fill="D9D9D9" w:themeFill="background1" w:themeFillShade="D9"/>
          </w:tcPr>
          <w:p w:rsidR="00920CB0" w:rsidRPr="00920CB0" w:rsidRDefault="00920CB0" w:rsidP="00172A57">
            <w:pPr>
              <w:spacing w:before="120"/>
              <w:ind w:left="425"/>
              <w:rPr>
                <w:i/>
              </w:rPr>
            </w:pPr>
            <w:r w:rsidRPr="002B39BF">
              <w:rPr>
                <w:i/>
              </w:rPr>
              <w:t>Referenciahozam (benchmark)</w:t>
            </w:r>
          </w:p>
        </w:tc>
      </w:tr>
      <w:tr w:rsidR="00920CB0" w:rsidTr="00172A57">
        <w:tc>
          <w:tcPr>
            <w:tcW w:w="8862" w:type="dxa"/>
            <w:tcBorders>
              <w:bottom w:val="single" w:sz="4" w:space="0" w:color="auto"/>
            </w:tcBorders>
          </w:tcPr>
          <w:p w:rsidR="00920CB0" w:rsidRDefault="00920CB0" w:rsidP="00172A57">
            <w:pPr>
              <w:spacing w:before="120"/>
              <w:ind w:left="425"/>
              <w:rPr>
                <w:b/>
                <w:i/>
              </w:rPr>
            </w:pPr>
            <w:r>
              <w:t>A referenciahozam az RMAX index teljesítménye.</w:t>
            </w:r>
          </w:p>
        </w:tc>
      </w:tr>
      <w:tr w:rsidR="00920CB0" w:rsidTr="00172A57">
        <w:tc>
          <w:tcPr>
            <w:tcW w:w="8862" w:type="dxa"/>
            <w:shd w:val="clear" w:color="auto" w:fill="D9D9D9" w:themeFill="background1" w:themeFillShade="D9"/>
          </w:tcPr>
          <w:p w:rsidR="00920CB0" w:rsidRPr="00920CB0" w:rsidRDefault="00920CB0" w:rsidP="00172A57">
            <w:pPr>
              <w:spacing w:before="120"/>
              <w:ind w:left="425"/>
              <w:rPr>
                <w:i/>
              </w:rPr>
            </w:pPr>
            <w:r w:rsidRPr="002B39BF">
              <w:rPr>
                <w:i/>
              </w:rPr>
              <w:t>Az Alap portfóliójának lehetséges elemei</w:t>
            </w:r>
          </w:p>
        </w:tc>
      </w:tr>
      <w:tr w:rsidR="00920CB0" w:rsidTr="00172A57">
        <w:tc>
          <w:tcPr>
            <w:tcW w:w="8862" w:type="dxa"/>
            <w:tcBorders>
              <w:bottom w:val="single" w:sz="4" w:space="0" w:color="auto"/>
            </w:tcBorders>
          </w:tcPr>
          <w:p w:rsidR="00920CB0" w:rsidRDefault="00920CB0" w:rsidP="00172A57">
            <w:pPr>
              <w:spacing w:before="120"/>
              <w:ind w:left="425"/>
            </w:pPr>
            <w:r w:rsidRPr="00920CB0">
              <w:t>Az Alap potenciális befektetési területe a lehető legszélesebb és globális: hazai és nemzetközi részvények illetve kötvények, kollektív befektetési értékpapírok, bankbetétek, devizák, egyéb befektetési eszközök, valamint ezekre és árupiaci termékekre vonatkozó származtatott ügyletek.</w:t>
            </w:r>
          </w:p>
          <w:p w:rsidR="006F393C" w:rsidRPr="00920CB0" w:rsidRDefault="006F393C" w:rsidP="006F393C">
            <w:pPr>
              <w:spacing w:before="120"/>
              <w:ind w:left="425"/>
            </w:pPr>
            <w:r>
              <w:t>A hagyományos befektetési alapoktól a széles eszköztáron túl abban tér el, hogy nem csak emelkedő, de eső piacon is van lehetősége hozamot elérni. Az Alapkezelő magasabb kockázatú eszközök (részvények, származtatott ügyletek) szelektív és időzített vételével és eladásával igyekszik a kockázatmentes hozamnál magasabb hozamot elérni, megfelelő lehetőségek hiányában azonban az Alap eszközeit alacsony kockázatú eszközökbe fekteti (bankbetét, állampapír).</w:t>
            </w:r>
          </w:p>
        </w:tc>
      </w:tr>
      <w:tr w:rsidR="00920CB0" w:rsidTr="00172A57">
        <w:tc>
          <w:tcPr>
            <w:tcW w:w="8862" w:type="dxa"/>
            <w:shd w:val="clear" w:color="auto" w:fill="D9D9D9" w:themeFill="background1" w:themeFillShade="D9"/>
          </w:tcPr>
          <w:p w:rsidR="00920CB0" w:rsidRPr="00920CB0" w:rsidRDefault="00920CB0" w:rsidP="00172A57">
            <w:pPr>
              <w:spacing w:before="120"/>
              <w:ind w:left="425"/>
              <w:rPr>
                <w:i/>
              </w:rPr>
            </w:pPr>
            <w:r w:rsidRPr="002B39BF">
              <w:rPr>
                <w:i/>
              </w:rPr>
              <w:t>Az egyes eszközkategóriák minimális és maximális aránya:</w:t>
            </w:r>
          </w:p>
        </w:tc>
      </w:tr>
      <w:tr w:rsidR="00920CB0" w:rsidTr="00172A57">
        <w:tc>
          <w:tcPr>
            <w:tcW w:w="8862" w:type="dxa"/>
          </w:tcPr>
          <w:p w:rsidR="00920CB0" w:rsidRDefault="00920CB0" w:rsidP="00172A57">
            <w:pPr>
              <w:tabs>
                <w:tab w:val="center" w:pos="5387"/>
                <w:tab w:val="center" w:pos="7797"/>
              </w:tabs>
              <w:spacing w:before="120"/>
              <w:ind w:left="425"/>
            </w:pPr>
            <w:r>
              <w:t>Eszközkategória</w:t>
            </w:r>
            <w:r>
              <w:tab/>
              <w:t>minimális részarány</w:t>
            </w:r>
            <w:r>
              <w:tab/>
              <w:t>maximális részarány</w:t>
            </w:r>
          </w:p>
          <w:p w:rsidR="00920CB0" w:rsidRDefault="00920CB0" w:rsidP="00172A57">
            <w:pPr>
              <w:tabs>
                <w:tab w:val="center" w:pos="5387"/>
                <w:tab w:val="center" w:pos="7797"/>
              </w:tabs>
              <w:spacing w:before="120"/>
              <w:ind w:left="425"/>
            </w:pPr>
            <w:r>
              <w:t>Likvid eszközök azonnali fizetőképességhez:</w:t>
            </w:r>
            <w:r>
              <w:tab/>
              <w:t>0%</w:t>
            </w:r>
            <w:r>
              <w:tab/>
              <w:t>100%</w:t>
            </w:r>
          </w:p>
          <w:p w:rsidR="00920CB0" w:rsidRDefault="00920CB0" w:rsidP="00172A57">
            <w:pPr>
              <w:tabs>
                <w:tab w:val="center" w:pos="5387"/>
                <w:tab w:val="center" w:pos="7797"/>
              </w:tabs>
              <w:spacing w:before="120"/>
              <w:ind w:left="425"/>
            </w:pPr>
            <w:r>
              <w:t>Bankbetét:</w:t>
            </w:r>
            <w:r>
              <w:tab/>
              <w:t>0%</w:t>
            </w:r>
            <w:r>
              <w:tab/>
              <w:t>100%</w:t>
            </w:r>
          </w:p>
          <w:p w:rsidR="00920CB0" w:rsidRDefault="00920CB0" w:rsidP="00172A57">
            <w:pPr>
              <w:tabs>
                <w:tab w:val="center" w:pos="5387"/>
                <w:tab w:val="center" w:pos="7797"/>
              </w:tabs>
              <w:spacing w:before="120"/>
              <w:ind w:left="425"/>
            </w:pPr>
            <w:r>
              <w:t>Belföldi befektetési eszközök:</w:t>
            </w:r>
            <w:r>
              <w:tab/>
              <w:t>-200%</w:t>
            </w:r>
            <w:r>
              <w:tab/>
              <w:t>200%</w:t>
            </w:r>
          </w:p>
          <w:p w:rsidR="00920CB0" w:rsidRDefault="00920CB0" w:rsidP="00172A57">
            <w:pPr>
              <w:tabs>
                <w:tab w:val="center" w:pos="5387"/>
                <w:tab w:val="center" w:pos="7797"/>
              </w:tabs>
              <w:spacing w:before="120"/>
              <w:ind w:left="425"/>
            </w:pPr>
            <w:r>
              <w:t>Külföldi pénzügyi eszközök:</w:t>
            </w:r>
            <w:r>
              <w:tab/>
              <w:t>-200%</w:t>
            </w:r>
            <w:r>
              <w:tab/>
              <w:t>200%</w:t>
            </w:r>
          </w:p>
          <w:p w:rsidR="00920CB0" w:rsidRDefault="00920CB0" w:rsidP="00172A57">
            <w:pPr>
              <w:tabs>
                <w:tab w:val="center" w:pos="5387"/>
                <w:tab w:val="center" w:pos="7797"/>
              </w:tabs>
              <w:spacing w:before="120"/>
              <w:ind w:left="425"/>
            </w:pPr>
            <w:r>
              <w:t>A nettó pozíciók abszolút értékeinek összege:</w:t>
            </w:r>
            <w:r>
              <w:tab/>
              <w:t>0%</w:t>
            </w:r>
            <w:r>
              <w:tab/>
              <w:t>200%</w:t>
            </w:r>
          </w:p>
          <w:p w:rsidR="00920CB0" w:rsidRDefault="00920CB0" w:rsidP="00172A57">
            <w:pPr>
              <w:tabs>
                <w:tab w:val="center" w:pos="5387"/>
                <w:tab w:val="center" w:pos="7797"/>
              </w:tabs>
              <w:spacing w:before="120"/>
              <w:ind w:left="425"/>
            </w:pPr>
            <w:r>
              <w:t xml:space="preserve">Tőzsdei árualapú származtatott ügyletek </w:t>
            </w:r>
          </w:p>
          <w:p w:rsidR="00920CB0" w:rsidRDefault="00920CB0" w:rsidP="00172A57">
            <w:pPr>
              <w:tabs>
                <w:tab w:val="center" w:pos="5387"/>
                <w:tab w:val="center" w:pos="7797"/>
              </w:tabs>
              <w:spacing w:before="120"/>
              <w:ind w:left="425"/>
            </w:pPr>
            <w:r>
              <w:t>(árfolyamértéken):</w:t>
            </w:r>
            <w:r>
              <w:tab/>
              <w:t>-200%</w:t>
            </w:r>
            <w:r>
              <w:tab/>
              <w:t>200%</w:t>
            </w:r>
          </w:p>
          <w:p w:rsidR="00040F39" w:rsidRDefault="00040F39" w:rsidP="00040F39">
            <w:pPr>
              <w:tabs>
                <w:tab w:val="center" w:pos="5387"/>
                <w:tab w:val="center" w:pos="7797"/>
              </w:tabs>
              <w:spacing w:before="120"/>
              <w:ind w:left="425"/>
            </w:pPr>
            <w:r>
              <w:t>Tőzsdére be nem vezetett n</w:t>
            </w:r>
            <w:r w:rsidR="00920CB0">
              <w:t xml:space="preserve">yilvános nyíltvégű </w:t>
            </w:r>
          </w:p>
          <w:p w:rsidR="00920CB0" w:rsidRPr="00920CB0" w:rsidRDefault="00920CB0" w:rsidP="00040F39">
            <w:pPr>
              <w:tabs>
                <w:tab w:val="center" w:pos="5387"/>
                <w:tab w:val="center" w:pos="7797"/>
              </w:tabs>
              <w:spacing w:before="120"/>
              <w:ind w:left="425"/>
            </w:pPr>
            <w:r>
              <w:t>kollektív befektetési értékpapírok:</w:t>
            </w:r>
            <w:r>
              <w:tab/>
              <w:t>0%</w:t>
            </w:r>
            <w:r>
              <w:tab/>
              <w:t>10</w:t>
            </w:r>
            <w:r w:rsidR="006F393C">
              <w:t>0</w:t>
            </w:r>
            <w:r>
              <w:t>%</w:t>
            </w:r>
          </w:p>
        </w:tc>
      </w:tr>
      <w:tr w:rsidR="00920CB0" w:rsidTr="00172A57">
        <w:tc>
          <w:tcPr>
            <w:tcW w:w="8862" w:type="dxa"/>
          </w:tcPr>
          <w:p w:rsidR="00920CB0" w:rsidRPr="00920CB0" w:rsidRDefault="00920CB0" w:rsidP="00172A57">
            <w:pPr>
              <w:spacing w:before="120"/>
              <w:ind w:left="425"/>
            </w:pPr>
            <w:r w:rsidRPr="00920CB0">
              <w:t>Az Alap harminc százalékot meghaladó mértékben fektethet bármilyen devizában denominált értékpapírba.</w:t>
            </w:r>
          </w:p>
        </w:tc>
      </w:tr>
      <w:tr w:rsidR="00920CB0" w:rsidTr="00172A57">
        <w:tc>
          <w:tcPr>
            <w:tcW w:w="8862" w:type="dxa"/>
          </w:tcPr>
          <w:p w:rsidR="00920CB0" w:rsidRPr="00920CB0" w:rsidRDefault="00920CB0" w:rsidP="00172A57">
            <w:pPr>
              <w:spacing w:before="120"/>
              <w:ind w:left="425"/>
            </w:pPr>
            <w:proofErr w:type="gramStart"/>
            <w:r>
              <w:t>Az Alap befektetési politikája alapján több intézménnyel (Concorde Értékpapír Zrt., UniCredit Bank Zrt., OTP Bank Nyrt., Deutsche Bank Zrt., Citibank Europe plc Magyarországi Fióktelepe, Raiffeisen Bank Zrt.) szembeni, az adott intézmény által kibocsátott átruházható értékpapírba vagy pénzpiaci eszközbe történő befektetésekből, az adott intézménnyel kötött OTC származtatott ügyletekből eredő összevont kockázati kitettség meghaladhatja az Alap eszközeinek 20 százalékát, ami megnöveli az Alapban a partnerkockázatot.</w:t>
            </w:r>
            <w:proofErr w:type="gramEnd"/>
          </w:p>
        </w:tc>
      </w:tr>
    </w:tbl>
    <w:p w:rsidR="00920CB0" w:rsidRDefault="00920CB0" w:rsidP="000F63F4">
      <w:pPr>
        <w:spacing w:before="240"/>
        <w:ind w:left="425"/>
        <w:rPr>
          <w:b/>
          <w:i/>
        </w:rPr>
      </w:pPr>
    </w:p>
    <w:p w:rsidR="00920CB0" w:rsidRDefault="00920CB0">
      <w:r>
        <w:br w:type="page"/>
      </w:r>
    </w:p>
    <w:tbl>
      <w:tblPr>
        <w:tblStyle w:val="Rcsostblzat"/>
        <w:tblW w:w="0" w:type="auto"/>
        <w:tblInd w:w="425" w:type="dxa"/>
        <w:tblLook w:val="04A0" w:firstRow="1" w:lastRow="0" w:firstColumn="1" w:lastColumn="0" w:noHBand="0" w:noVBand="1"/>
      </w:tblPr>
      <w:tblGrid>
        <w:gridCol w:w="8862"/>
      </w:tblGrid>
      <w:tr w:rsidR="00920CB0" w:rsidTr="00172A57">
        <w:tc>
          <w:tcPr>
            <w:tcW w:w="8862" w:type="dxa"/>
            <w:tcBorders>
              <w:bottom w:val="single" w:sz="4" w:space="0" w:color="auto"/>
            </w:tcBorders>
            <w:shd w:val="clear" w:color="auto" w:fill="FFC000"/>
          </w:tcPr>
          <w:p w:rsidR="00920CB0" w:rsidRPr="00920CB0" w:rsidRDefault="00920CB0" w:rsidP="00172A57">
            <w:pPr>
              <w:pStyle w:val="Listaszerbekezds"/>
              <w:spacing w:before="240"/>
              <w:ind w:left="360"/>
              <w:rPr>
                <w:b/>
                <w:i/>
              </w:rPr>
            </w:pPr>
            <w:r w:rsidRPr="00920CB0">
              <w:rPr>
                <w:b/>
                <w:i/>
              </w:rPr>
              <w:lastRenderedPageBreak/>
              <w:t>Platina Pí Származtatott Befektetési Alap</w:t>
            </w:r>
          </w:p>
        </w:tc>
      </w:tr>
      <w:tr w:rsidR="00920CB0" w:rsidTr="00172A57">
        <w:tc>
          <w:tcPr>
            <w:tcW w:w="8862" w:type="dxa"/>
            <w:shd w:val="clear" w:color="auto" w:fill="D9D9D9" w:themeFill="background1" w:themeFillShade="D9"/>
          </w:tcPr>
          <w:p w:rsidR="00920CB0" w:rsidRDefault="00920CB0" w:rsidP="00172A57">
            <w:pPr>
              <w:spacing w:before="120"/>
              <w:ind w:left="425"/>
              <w:rPr>
                <w:b/>
                <w:i/>
              </w:rPr>
            </w:pPr>
            <w:r w:rsidRPr="002B39BF">
              <w:rPr>
                <w:i/>
              </w:rPr>
              <w:t>Befektetési stratégia, az összegyűjtött tőke felhasználásának célja</w:t>
            </w:r>
          </w:p>
        </w:tc>
      </w:tr>
      <w:tr w:rsidR="00920CB0" w:rsidTr="00172A57">
        <w:tc>
          <w:tcPr>
            <w:tcW w:w="8862" w:type="dxa"/>
            <w:tcBorders>
              <w:bottom w:val="single" w:sz="4" w:space="0" w:color="auto"/>
            </w:tcBorders>
          </w:tcPr>
          <w:p w:rsidR="00920CB0" w:rsidRDefault="00920CB0" w:rsidP="00920CB0">
            <w:pPr>
              <w:spacing w:before="120"/>
              <w:ind w:left="425"/>
            </w:pPr>
            <w:r>
              <w:t xml:space="preserve">Az Alap potenciális befektetési területe a lehető legszélesebb és globális: bankbetétek, hazai és nemzetközi részvények illetve kötvények, devizák, kollektív befektetési értékpapírok, egyéb befektetési eszközök, valamint ezekre és árupiaci termékekre vonatkozó származtatott ügyletek. A hagyományos befektetési alapoktól a széles eszköztáron túl abban tér el, hogy nem csak emelkedő, de eső piacon is van lehetősége hozamot elérni. </w:t>
            </w:r>
          </w:p>
          <w:p w:rsidR="00920CB0" w:rsidRDefault="00920CB0" w:rsidP="00920CB0">
            <w:pPr>
              <w:spacing w:before="120"/>
              <w:ind w:left="425"/>
              <w:rPr>
                <w:b/>
                <w:i/>
              </w:rPr>
            </w:pPr>
            <w:r>
              <w:t xml:space="preserve">Az Alap célja az állampapírok által biztosított hozamnál nagyobb hozam elérése addicionális kockázat vállalása mellett. A többlethozam elérésének érdekében az Alap magasabb kockázatú instrumentumokat is vásárol és ad el, alapvetően fundamentális alapon történő elemzésekre támaszkodva, de a technikai időzítést is figyelembe véve, az eszközöket szelektíven kiválasztva. Ha viszont az Alapkezelő nem lát megfelelő lehetőséget magasabb kockázatú instrumentumokban, akkor alacsony kockázatú eszközökbe fekteti az Alap tőkéjét, egészen addig, amíg jó vételi vagy eladási lehetőségek nem adódnak. Az Alapkezelő az egyes értékpapírok kiválasztásánál értékalapú szemléletet követ, alacsonyan árazott eszközöket vásárolva a portfólióba. Ennek érdekében az </w:t>
            </w:r>
            <w:proofErr w:type="gramStart"/>
            <w:r>
              <w:t>Alap jelentős</w:t>
            </w:r>
            <w:proofErr w:type="gramEnd"/>
            <w:r>
              <w:t xml:space="preserve"> mértékben fektet be alacsonyabb kapitalizációjú részvényekbe, ahol a kisebb elemzői lefedettség gyakrabban vezethet alulértékeltséghez.</w:t>
            </w:r>
          </w:p>
        </w:tc>
      </w:tr>
      <w:tr w:rsidR="00920CB0" w:rsidTr="00172A57">
        <w:tc>
          <w:tcPr>
            <w:tcW w:w="8862" w:type="dxa"/>
            <w:shd w:val="clear" w:color="auto" w:fill="D9D9D9" w:themeFill="background1" w:themeFillShade="D9"/>
          </w:tcPr>
          <w:p w:rsidR="00920CB0" w:rsidRPr="00920CB0" w:rsidRDefault="00920CB0" w:rsidP="00172A57">
            <w:pPr>
              <w:spacing w:before="120"/>
              <w:ind w:left="425"/>
              <w:rPr>
                <w:i/>
              </w:rPr>
            </w:pPr>
            <w:r w:rsidRPr="002B39BF">
              <w:rPr>
                <w:i/>
              </w:rPr>
              <w:t>Referenciahozam (benchmark)</w:t>
            </w:r>
          </w:p>
        </w:tc>
      </w:tr>
      <w:tr w:rsidR="00920CB0" w:rsidTr="00172A57">
        <w:tc>
          <w:tcPr>
            <w:tcW w:w="8862" w:type="dxa"/>
            <w:tcBorders>
              <w:bottom w:val="single" w:sz="4" w:space="0" w:color="auto"/>
            </w:tcBorders>
          </w:tcPr>
          <w:p w:rsidR="00920CB0" w:rsidRDefault="00920CB0" w:rsidP="00172A57">
            <w:pPr>
              <w:spacing w:before="120"/>
              <w:ind w:left="425"/>
              <w:rPr>
                <w:b/>
                <w:i/>
              </w:rPr>
            </w:pPr>
            <w:r>
              <w:t>A referenciahozam az RMAX index teljesítménye.</w:t>
            </w:r>
          </w:p>
        </w:tc>
      </w:tr>
      <w:tr w:rsidR="00920CB0" w:rsidTr="00172A57">
        <w:tc>
          <w:tcPr>
            <w:tcW w:w="8862" w:type="dxa"/>
            <w:shd w:val="clear" w:color="auto" w:fill="D9D9D9" w:themeFill="background1" w:themeFillShade="D9"/>
          </w:tcPr>
          <w:p w:rsidR="00920CB0" w:rsidRPr="00920CB0" w:rsidRDefault="00920CB0" w:rsidP="00172A57">
            <w:pPr>
              <w:spacing w:before="120"/>
              <w:ind w:left="425"/>
              <w:rPr>
                <w:i/>
              </w:rPr>
            </w:pPr>
            <w:r w:rsidRPr="002B39BF">
              <w:rPr>
                <w:i/>
              </w:rPr>
              <w:t>Az Alap portfóliójának lehetséges elemei</w:t>
            </w:r>
          </w:p>
        </w:tc>
      </w:tr>
      <w:tr w:rsidR="00920CB0" w:rsidTr="00172A57">
        <w:tc>
          <w:tcPr>
            <w:tcW w:w="8862" w:type="dxa"/>
            <w:tcBorders>
              <w:bottom w:val="single" w:sz="4" w:space="0" w:color="auto"/>
            </w:tcBorders>
          </w:tcPr>
          <w:p w:rsidR="00920CB0" w:rsidRPr="00920CB0" w:rsidRDefault="00920CB0" w:rsidP="00172A57">
            <w:pPr>
              <w:spacing w:before="120"/>
              <w:ind w:left="425"/>
            </w:pPr>
            <w:r w:rsidRPr="00920CB0">
              <w:t>Az Alap potenciális befektetési területe a lehető legszélesebb és globális: bankbetétek, hazai és nemzetközi részvények illetve kötvények, devizák, kollektív befektetési értékpapírok, egyéb befektetési eszközök, valamint ezekre és árupiaci termékekre vonatkozó származtatott ügyletek. A hagyományos befektetési alapoktól a széles eszköztáron túl abban tér el, hogy nem csak emelkedő, de eső piacon is van lehetősége hozamot elérni.</w:t>
            </w:r>
          </w:p>
        </w:tc>
      </w:tr>
      <w:tr w:rsidR="00920CB0" w:rsidTr="00172A57">
        <w:tc>
          <w:tcPr>
            <w:tcW w:w="8862" w:type="dxa"/>
            <w:shd w:val="clear" w:color="auto" w:fill="D9D9D9" w:themeFill="background1" w:themeFillShade="D9"/>
          </w:tcPr>
          <w:p w:rsidR="00920CB0" w:rsidRPr="00920CB0" w:rsidRDefault="00920CB0" w:rsidP="00172A57">
            <w:pPr>
              <w:spacing w:before="120"/>
              <w:ind w:left="425"/>
              <w:rPr>
                <w:i/>
              </w:rPr>
            </w:pPr>
            <w:r w:rsidRPr="002B39BF">
              <w:rPr>
                <w:i/>
              </w:rPr>
              <w:t>Az egyes eszközkategóriák minimális és maximális aránya:</w:t>
            </w:r>
          </w:p>
        </w:tc>
      </w:tr>
      <w:tr w:rsidR="00920CB0" w:rsidTr="00172A57">
        <w:tc>
          <w:tcPr>
            <w:tcW w:w="8862" w:type="dxa"/>
          </w:tcPr>
          <w:p w:rsidR="00920CB0" w:rsidRDefault="00920CB0" w:rsidP="00172A57">
            <w:pPr>
              <w:tabs>
                <w:tab w:val="center" w:pos="5387"/>
                <w:tab w:val="center" w:pos="7797"/>
              </w:tabs>
              <w:spacing w:before="120"/>
              <w:ind w:left="425"/>
            </w:pPr>
            <w:r>
              <w:t>Eszközkategória</w:t>
            </w:r>
            <w:r>
              <w:tab/>
              <w:t>minimális részarány</w:t>
            </w:r>
            <w:r>
              <w:tab/>
              <w:t>maximális részarány</w:t>
            </w:r>
          </w:p>
          <w:p w:rsidR="00920CB0" w:rsidRDefault="00920CB0" w:rsidP="00172A57">
            <w:pPr>
              <w:tabs>
                <w:tab w:val="center" w:pos="5387"/>
                <w:tab w:val="center" w:pos="7797"/>
              </w:tabs>
              <w:spacing w:before="120"/>
              <w:ind w:left="425"/>
            </w:pPr>
            <w:r>
              <w:t>Likvid eszközök azonnali fizetőképességhez:</w:t>
            </w:r>
            <w:r>
              <w:tab/>
              <w:t>0%</w:t>
            </w:r>
            <w:r>
              <w:tab/>
              <w:t>100%</w:t>
            </w:r>
          </w:p>
          <w:p w:rsidR="00920CB0" w:rsidRDefault="00920CB0" w:rsidP="00172A57">
            <w:pPr>
              <w:tabs>
                <w:tab w:val="center" w:pos="5387"/>
                <w:tab w:val="center" w:pos="7797"/>
              </w:tabs>
              <w:spacing w:before="120"/>
              <w:ind w:left="425"/>
            </w:pPr>
            <w:r>
              <w:t>Bankbetét:</w:t>
            </w:r>
            <w:r>
              <w:tab/>
              <w:t>0%</w:t>
            </w:r>
            <w:r>
              <w:tab/>
              <w:t>100%</w:t>
            </w:r>
          </w:p>
          <w:p w:rsidR="00920CB0" w:rsidRDefault="00920CB0" w:rsidP="00172A57">
            <w:pPr>
              <w:tabs>
                <w:tab w:val="center" w:pos="5387"/>
                <w:tab w:val="center" w:pos="7797"/>
              </w:tabs>
              <w:spacing w:before="120"/>
              <w:ind w:left="425"/>
            </w:pPr>
            <w:r>
              <w:t>Belföldi befektetési eszközök:</w:t>
            </w:r>
            <w:r>
              <w:tab/>
              <w:t>-200%</w:t>
            </w:r>
            <w:r>
              <w:tab/>
              <w:t>200%</w:t>
            </w:r>
          </w:p>
          <w:p w:rsidR="00920CB0" w:rsidRDefault="00920CB0" w:rsidP="00172A57">
            <w:pPr>
              <w:tabs>
                <w:tab w:val="center" w:pos="5387"/>
                <w:tab w:val="center" w:pos="7797"/>
              </w:tabs>
              <w:spacing w:before="120"/>
              <w:ind w:left="425"/>
            </w:pPr>
            <w:r>
              <w:t>Külföldi pénzügyi eszközök:</w:t>
            </w:r>
            <w:r>
              <w:tab/>
              <w:t>-200%</w:t>
            </w:r>
            <w:r>
              <w:tab/>
              <w:t>200%</w:t>
            </w:r>
          </w:p>
          <w:p w:rsidR="00920CB0" w:rsidRDefault="00920CB0" w:rsidP="00172A57">
            <w:pPr>
              <w:tabs>
                <w:tab w:val="center" w:pos="5387"/>
                <w:tab w:val="center" w:pos="7797"/>
              </w:tabs>
              <w:spacing w:before="120"/>
              <w:ind w:left="425"/>
            </w:pPr>
            <w:r>
              <w:t>A nettó pozíciók abszolút értékeinek összege:</w:t>
            </w:r>
            <w:r>
              <w:tab/>
              <w:t>0%</w:t>
            </w:r>
            <w:r>
              <w:tab/>
              <w:t>200%</w:t>
            </w:r>
          </w:p>
          <w:p w:rsidR="00920CB0" w:rsidRDefault="00920CB0" w:rsidP="00172A57">
            <w:pPr>
              <w:tabs>
                <w:tab w:val="center" w:pos="5387"/>
                <w:tab w:val="center" w:pos="7797"/>
              </w:tabs>
              <w:spacing w:before="120"/>
              <w:ind w:left="425"/>
            </w:pPr>
            <w:r>
              <w:t xml:space="preserve">Tőzsdei árualapú származtatott ügyletek </w:t>
            </w:r>
          </w:p>
          <w:p w:rsidR="00920CB0" w:rsidRDefault="00920CB0" w:rsidP="00172A57">
            <w:pPr>
              <w:tabs>
                <w:tab w:val="center" w:pos="5387"/>
                <w:tab w:val="center" w:pos="7797"/>
              </w:tabs>
              <w:spacing w:before="120"/>
              <w:ind w:left="425"/>
            </w:pPr>
            <w:r>
              <w:t>(árfolyamértéken):</w:t>
            </w:r>
            <w:r>
              <w:tab/>
              <w:t>-200%</w:t>
            </w:r>
            <w:r>
              <w:tab/>
              <w:t>200%</w:t>
            </w:r>
          </w:p>
          <w:p w:rsidR="009849F7" w:rsidRDefault="009849F7" w:rsidP="009849F7">
            <w:pPr>
              <w:tabs>
                <w:tab w:val="center" w:pos="5387"/>
                <w:tab w:val="center" w:pos="7797"/>
              </w:tabs>
              <w:spacing w:before="120"/>
              <w:ind w:left="425"/>
            </w:pPr>
            <w:r>
              <w:t>Tőzsdére be nem vezetett n</w:t>
            </w:r>
            <w:r w:rsidR="00920CB0">
              <w:t xml:space="preserve">yilvános nyíltvégű </w:t>
            </w:r>
          </w:p>
          <w:p w:rsidR="00920CB0" w:rsidRPr="00920CB0" w:rsidRDefault="00920CB0" w:rsidP="009849F7">
            <w:pPr>
              <w:tabs>
                <w:tab w:val="center" w:pos="5387"/>
                <w:tab w:val="center" w:pos="7797"/>
              </w:tabs>
              <w:spacing w:before="120"/>
              <w:ind w:left="425"/>
            </w:pPr>
            <w:r>
              <w:t>kollektív befektetési értékpapírok:</w:t>
            </w:r>
            <w:r>
              <w:tab/>
              <w:t>0%</w:t>
            </w:r>
            <w:r>
              <w:tab/>
              <w:t>80%</w:t>
            </w:r>
          </w:p>
        </w:tc>
      </w:tr>
      <w:tr w:rsidR="00920CB0" w:rsidTr="00172A57">
        <w:tc>
          <w:tcPr>
            <w:tcW w:w="8862" w:type="dxa"/>
          </w:tcPr>
          <w:p w:rsidR="00920CB0" w:rsidRPr="00920CB0" w:rsidRDefault="00920CB0" w:rsidP="00172A57">
            <w:pPr>
              <w:spacing w:before="120"/>
              <w:ind w:left="425"/>
            </w:pPr>
            <w:r w:rsidRPr="00920CB0">
              <w:t>Az Alap harminc százalékot meghaladó mértékben fektethet bármilyen devizában denominált értékpapírba.</w:t>
            </w:r>
          </w:p>
        </w:tc>
      </w:tr>
      <w:tr w:rsidR="00920CB0" w:rsidTr="00172A57">
        <w:tc>
          <w:tcPr>
            <w:tcW w:w="8862" w:type="dxa"/>
          </w:tcPr>
          <w:p w:rsidR="00920CB0" w:rsidRPr="00920CB0" w:rsidRDefault="00920CB0" w:rsidP="00172A57">
            <w:pPr>
              <w:spacing w:before="120"/>
              <w:ind w:left="425"/>
            </w:pPr>
            <w:proofErr w:type="gramStart"/>
            <w:r>
              <w:t>Az Alap befektetési politikája alapján több intézménnyel (Concorde Értékpapír Zrt., UniCredit Bank Zrt., OTP Bank Nyrt., Deutsche Bank Zrt., Citibank Europe plc Magyarországi Fióktelepe, Raiffeisen Bank Zrt.) szembeni, az adott intézmény által kibocsátott átruházható értékpapírba vagy pénzpiaci eszközbe történő befektetésekből, az adott intézménnyel kötött OTC származtatott ügyletekből eredő összevont kockázati kitettség meghaladhatja az Alap eszközeinek 20 százalékát, ami megnöveli az Alapban a partnerkockázatot.</w:t>
            </w:r>
            <w:proofErr w:type="gramEnd"/>
          </w:p>
        </w:tc>
      </w:tr>
    </w:tbl>
    <w:p w:rsidR="00920CB0" w:rsidRDefault="00920CB0" w:rsidP="000F63F4">
      <w:pPr>
        <w:spacing w:before="240"/>
        <w:ind w:left="425"/>
        <w:rPr>
          <w:b/>
          <w:i/>
        </w:rPr>
      </w:pPr>
    </w:p>
    <w:p w:rsidR="002D4AC6" w:rsidRDefault="002D4AC6">
      <w:r>
        <w:br w:type="page"/>
      </w:r>
    </w:p>
    <w:tbl>
      <w:tblPr>
        <w:tblStyle w:val="Rcsostblzat"/>
        <w:tblW w:w="0" w:type="auto"/>
        <w:tblInd w:w="425" w:type="dxa"/>
        <w:tblLook w:val="04A0" w:firstRow="1" w:lastRow="0" w:firstColumn="1" w:lastColumn="0" w:noHBand="0" w:noVBand="1"/>
      </w:tblPr>
      <w:tblGrid>
        <w:gridCol w:w="8862"/>
      </w:tblGrid>
      <w:tr w:rsidR="002D4AC6" w:rsidTr="00172A57">
        <w:tc>
          <w:tcPr>
            <w:tcW w:w="8862" w:type="dxa"/>
            <w:tcBorders>
              <w:bottom w:val="single" w:sz="4" w:space="0" w:color="auto"/>
            </w:tcBorders>
            <w:shd w:val="clear" w:color="auto" w:fill="FFC000"/>
          </w:tcPr>
          <w:p w:rsidR="002D4AC6" w:rsidRPr="00920CB0" w:rsidRDefault="002D4AC6" w:rsidP="00172A57">
            <w:pPr>
              <w:pStyle w:val="Listaszerbekezds"/>
              <w:spacing w:before="240"/>
              <w:ind w:left="360"/>
              <w:rPr>
                <w:b/>
                <w:i/>
              </w:rPr>
            </w:pPr>
            <w:r w:rsidRPr="002D4AC6">
              <w:rPr>
                <w:b/>
                <w:i/>
              </w:rPr>
              <w:lastRenderedPageBreak/>
              <w:t>Platina Delta Származtatott Befektetési Alap</w:t>
            </w:r>
          </w:p>
        </w:tc>
      </w:tr>
      <w:tr w:rsidR="002D4AC6" w:rsidTr="00172A57">
        <w:tc>
          <w:tcPr>
            <w:tcW w:w="8862" w:type="dxa"/>
            <w:shd w:val="clear" w:color="auto" w:fill="D9D9D9" w:themeFill="background1" w:themeFillShade="D9"/>
          </w:tcPr>
          <w:p w:rsidR="002D4AC6" w:rsidRDefault="002D4AC6" w:rsidP="00172A57">
            <w:pPr>
              <w:spacing w:before="120"/>
              <w:ind w:left="425"/>
              <w:rPr>
                <w:b/>
                <w:i/>
              </w:rPr>
            </w:pPr>
            <w:r w:rsidRPr="002B39BF">
              <w:rPr>
                <w:i/>
              </w:rPr>
              <w:t>Befektetési stratégia, az összegyűjtött tőke felhasználásának célja</w:t>
            </w:r>
          </w:p>
        </w:tc>
      </w:tr>
      <w:tr w:rsidR="002D4AC6" w:rsidTr="00172A57">
        <w:tc>
          <w:tcPr>
            <w:tcW w:w="8862" w:type="dxa"/>
            <w:tcBorders>
              <w:bottom w:val="single" w:sz="4" w:space="0" w:color="auto"/>
            </w:tcBorders>
          </w:tcPr>
          <w:p w:rsidR="002D4AC6" w:rsidRDefault="002D4AC6" w:rsidP="002D4AC6">
            <w:pPr>
              <w:spacing w:before="120"/>
              <w:ind w:left="425"/>
            </w:pPr>
            <w:r>
              <w:t xml:space="preserve">Az Alap potenciális befektetési területe a lehető legszélesebb és globális: bankbetétek, hazai és nemzetközi részvények illetve kötvények, devizák, kollektív befektetési értékpapírok, egyéb befektetési eszközök, valamint ezekre és árupiaci termékekre vonatkozó származtatott ügyletek. A hagyományos befektetési alapoktól a széles eszköztáron túl abban tér el, hogy nem csak emelkedő, de eső piacon is van lehetősége hozamot elérni. </w:t>
            </w:r>
          </w:p>
          <w:p w:rsidR="002D4AC6" w:rsidRDefault="002D4AC6" w:rsidP="009849F7">
            <w:pPr>
              <w:spacing w:before="120"/>
              <w:ind w:left="425"/>
              <w:rPr>
                <w:b/>
                <w:i/>
              </w:rPr>
            </w:pPr>
            <w:r>
              <w:t>Az Alap célja az állampapírok által biztosított hozamnál nagyobb hozam elérése addicionális kockázat vállalása mellett. A többlethozam elérésének érdekében az Alap magasabb kockázatú instrumentumokat is vásárol és ad el, alapvetően fundamentális alapon történő elemzésekre támaszkodva, de a technikai időzítést is figyelembe véve</w:t>
            </w:r>
            <w:r w:rsidR="009849F7">
              <w:t>.</w:t>
            </w:r>
            <w:r>
              <w:t xml:space="preserve"> Ha viszont az Alapkezelő nem lát megfelelő lehetőséget magasabb kockázatú instrumentumokban, akkor alacsony kockázatú eszközökbe fekteti az Alap tőkéjét, egészen addig, amíg jó vételi vagy eladási lehetőségek nem adódnak.</w:t>
            </w:r>
          </w:p>
        </w:tc>
      </w:tr>
      <w:tr w:rsidR="002D4AC6" w:rsidTr="00172A57">
        <w:tc>
          <w:tcPr>
            <w:tcW w:w="8862" w:type="dxa"/>
            <w:shd w:val="clear" w:color="auto" w:fill="D9D9D9" w:themeFill="background1" w:themeFillShade="D9"/>
          </w:tcPr>
          <w:p w:rsidR="002D4AC6" w:rsidRPr="00920CB0" w:rsidRDefault="002D4AC6" w:rsidP="00172A57">
            <w:pPr>
              <w:spacing w:before="120"/>
              <w:ind w:left="425"/>
              <w:rPr>
                <w:i/>
              </w:rPr>
            </w:pPr>
            <w:r w:rsidRPr="002B39BF">
              <w:rPr>
                <w:i/>
              </w:rPr>
              <w:t>Referenciahozam (benchmark)</w:t>
            </w:r>
          </w:p>
        </w:tc>
      </w:tr>
      <w:tr w:rsidR="002D4AC6" w:rsidTr="00172A57">
        <w:tc>
          <w:tcPr>
            <w:tcW w:w="8862" w:type="dxa"/>
            <w:tcBorders>
              <w:bottom w:val="single" w:sz="4" w:space="0" w:color="auto"/>
            </w:tcBorders>
          </w:tcPr>
          <w:p w:rsidR="002D4AC6" w:rsidRDefault="002D4AC6" w:rsidP="00172A57">
            <w:pPr>
              <w:spacing w:before="120"/>
              <w:ind w:left="425"/>
              <w:rPr>
                <w:b/>
                <w:i/>
              </w:rPr>
            </w:pPr>
            <w:r>
              <w:t>A referenciahozam az RMAX index teljesítménye.</w:t>
            </w:r>
          </w:p>
        </w:tc>
      </w:tr>
      <w:tr w:rsidR="002D4AC6" w:rsidTr="00172A57">
        <w:tc>
          <w:tcPr>
            <w:tcW w:w="8862" w:type="dxa"/>
            <w:shd w:val="clear" w:color="auto" w:fill="D9D9D9" w:themeFill="background1" w:themeFillShade="D9"/>
          </w:tcPr>
          <w:p w:rsidR="002D4AC6" w:rsidRPr="00920CB0" w:rsidRDefault="002D4AC6" w:rsidP="00172A57">
            <w:pPr>
              <w:spacing w:before="120"/>
              <w:ind w:left="425"/>
              <w:rPr>
                <w:i/>
              </w:rPr>
            </w:pPr>
            <w:r w:rsidRPr="002B39BF">
              <w:rPr>
                <w:i/>
              </w:rPr>
              <w:t>Az Alap portfóliójának lehetséges elemei</w:t>
            </w:r>
          </w:p>
        </w:tc>
      </w:tr>
      <w:tr w:rsidR="002D4AC6" w:rsidTr="00172A57">
        <w:tc>
          <w:tcPr>
            <w:tcW w:w="8862" w:type="dxa"/>
            <w:tcBorders>
              <w:bottom w:val="single" w:sz="4" w:space="0" w:color="auto"/>
            </w:tcBorders>
          </w:tcPr>
          <w:p w:rsidR="002D4AC6" w:rsidRPr="00920CB0" w:rsidRDefault="002D4AC6" w:rsidP="00172A57">
            <w:pPr>
              <w:spacing w:before="120"/>
              <w:ind w:left="425"/>
            </w:pPr>
            <w:r w:rsidRPr="00920CB0">
              <w:t>Az Alap potenciális befektetési területe a lehető legszélesebb és globális: bankbetétek, hazai és nemzetközi részvények illetve kötvények, devizák, kollektív befektetési értékpapírok, egyéb befektetési eszközök, valamint ezekre és árupiaci termékekre vonatkozó származtatott ügyletek. A hagyományos befektetési alapoktól a széles eszköztáron túl abban tér el, hogy nem csak emelkedő, de eső piacon is van lehetősége hozamot elérni.</w:t>
            </w:r>
          </w:p>
        </w:tc>
      </w:tr>
      <w:tr w:rsidR="002D4AC6" w:rsidTr="00172A57">
        <w:tc>
          <w:tcPr>
            <w:tcW w:w="8862" w:type="dxa"/>
            <w:shd w:val="clear" w:color="auto" w:fill="D9D9D9" w:themeFill="background1" w:themeFillShade="D9"/>
          </w:tcPr>
          <w:p w:rsidR="002D4AC6" w:rsidRPr="00920CB0" w:rsidRDefault="002D4AC6" w:rsidP="00172A57">
            <w:pPr>
              <w:spacing w:before="120"/>
              <w:ind w:left="425"/>
              <w:rPr>
                <w:i/>
              </w:rPr>
            </w:pPr>
            <w:r w:rsidRPr="002B39BF">
              <w:rPr>
                <w:i/>
              </w:rPr>
              <w:t>Az egyes eszközkategóriák minimális és maximális aránya:</w:t>
            </w:r>
          </w:p>
        </w:tc>
      </w:tr>
      <w:tr w:rsidR="002D4AC6" w:rsidTr="00172A57">
        <w:tc>
          <w:tcPr>
            <w:tcW w:w="8862" w:type="dxa"/>
          </w:tcPr>
          <w:p w:rsidR="002D4AC6" w:rsidRDefault="002D4AC6" w:rsidP="00172A57">
            <w:pPr>
              <w:tabs>
                <w:tab w:val="center" w:pos="5387"/>
                <w:tab w:val="center" w:pos="7797"/>
              </w:tabs>
              <w:spacing w:before="120"/>
              <w:ind w:left="425"/>
            </w:pPr>
            <w:r>
              <w:t>Eszközkategória</w:t>
            </w:r>
            <w:r>
              <w:tab/>
              <w:t>minimális részarány</w:t>
            </w:r>
            <w:r>
              <w:tab/>
              <w:t>maximális részarány</w:t>
            </w:r>
          </w:p>
          <w:p w:rsidR="002D4AC6" w:rsidRDefault="002D4AC6" w:rsidP="00172A57">
            <w:pPr>
              <w:tabs>
                <w:tab w:val="center" w:pos="5387"/>
                <w:tab w:val="center" w:pos="7797"/>
              </w:tabs>
              <w:spacing w:before="120"/>
              <w:ind w:left="425"/>
            </w:pPr>
            <w:r>
              <w:t>Likvid eszközök azonnali fizetőképességhez:</w:t>
            </w:r>
            <w:r>
              <w:tab/>
              <w:t>0%</w:t>
            </w:r>
            <w:r>
              <w:tab/>
              <w:t>100%</w:t>
            </w:r>
          </w:p>
          <w:p w:rsidR="002D4AC6" w:rsidRDefault="002D4AC6" w:rsidP="00172A57">
            <w:pPr>
              <w:tabs>
                <w:tab w:val="center" w:pos="5387"/>
                <w:tab w:val="center" w:pos="7797"/>
              </w:tabs>
              <w:spacing w:before="120"/>
              <w:ind w:left="425"/>
            </w:pPr>
            <w:r>
              <w:t>Bankbetét:</w:t>
            </w:r>
            <w:r>
              <w:tab/>
              <w:t>0%</w:t>
            </w:r>
            <w:r>
              <w:tab/>
              <w:t>100%</w:t>
            </w:r>
          </w:p>
          <w:p w:rsidR="002D4AC6" w:rsidRDefault="002D4AC6" w:rsidP="00172A57">
            <w:pPr>
              <w:tabs>
                <w:tab w:val="center" w:pos="5387"/>
                <w:tab w:val="center" w:pos="7797"/>
              </w:tabs>
              <w:spacing w:before="120"/>
              <w:ind w:left="425"/>
            </w:pPr>
            <w:r>
              <w:t>Belföldi befektetési eszközök:</w:t>
            </w:r>
            <w:r>
              <w:tab/>
              <w:t>-</w:t>
            </w:r>
            <w:r w:rsidR="009849F7">
              <w:t>2</w:t>
            </w:r>
            <w:r>
              <w:t>00%</w:t>
            </w:r>
            <w:r>
              <w:tab/>
              <w:t>200%</w:t>
            </w:r>
          </w:p>
          <w:p w:rsidR="002D4AC6" w:rsidRDefault="009849F7" w:rsidP="00172A57">
            <w:pPr>
              <w:tabs>
                <w:tab w:val="center" w:pos="5387"/>
                <w:tab w:val="center" w:pos="7797"/>
              </w:tabs>
              <w:spacing w:before="120"/>
              <w:ind w:left="425"/>
            </w:pPr>
            <w:r>
              <w:t>Külföldi pénzügyi eszközök:</w:t>
            </w:r>
            <w:r>
              <w:tab/>
              <w:t>-2</w:t>
            </w:r>
            <w:r w:rsidR="002D4AC6">
              <w:t>00%</w:t>
            </w:r>
            <w:r w:rsidR="002D4AC6">
              <w:tab/>
              <w:t>200%</w:t>
            </w:r>
          </w:p>
          <w:p w:rsidR="002D4AC6" w:rsidRDefault="002D4AC6" w:rsidP="00172A57">
            <w:pPr>
              <w:tabs>
                <w:tab w:val="center" w:pos="5387"/>
                <w:tab w:val="center" w:pos="7797"/>
              </w:tabs>
              <w:spacing w:before="120"/>
              <w:ind w:left="425"/>
            </w:pPr>
            <w:r>
              <w:t>A nettó pozíciók abszolút értékeinek összege:</w:t>
            </w:r>
            <w:r>
              <w:tab/>
              <w:t>0%</w:t>
            </w:r>
            <w:r>
              <w:tab/>
              <w:t>200%</w:t>
            </w:r>
          </w:p>
          <w:p w:rsidR="002D4AC6" w:rsidRDefault="002D4AC6" w:rsidP="00172A57">
            <w:pPr>
              <w:tabs>
                <w:tab w:val="center" w:pos="5387"/>
                <w:tab w:val="center" w:pos="7797"/>
              </w:tabs>
              <w:spacing w:before="120"/>
              <w:ind w:left="425"/>
            </w:pPr>
            <w:r>
              <w:t xml:space="preserve">Tőzsdei árualapú származtatott ügyletek </w:t>
            </w:r>
          </w:p>
          <w:p w:rsidR="002D4AC6" w:rsidRDefault="002D4AC6" w:rsidP="00172A57">
            <w:pPr>
              <w:tabs>
                <w:tab w:val="center" w:pos="5387"/>
                <w:tab w:val="center" w:pos="7797"/>
              </w:tabs>
              <w:spacing w:before="120"/>
              <w:ind w:left="425"/>
            </w:pPr>
            <w:r>
              <w:t>(árfolyamértéken):</w:t>
            </w:r>
            <w:r>
              <w:tab/>
              <w:t>-200%</w:t>
            </w:r>
            <w:r>
              <w:tab/>
              <w:t>200%</w:t>
            </w:r>
          </w:p>
          <w:p w:rsidR="009849F7" w:rsidRDefault="009849F7" w:rsidP="009849F7">
            <w:pPr>
              <w:tabs>
                <w:tab w:val="center" w:pos="5387"/>
                <w:tab w:val="center" w:pos="7797"/>
              </w:tabs>
              <w:spacing w:before="120"/>
              <w:ind w:left="425"/>
            </w:pPr>
            <w:r>
              <w:t>Tőzsdére be nem vezetett n</w:t>
            </w:r>
            <w:r w:rsidR="002D4AC6">
              <w:t xml:space="preserve">yilvános nyíltvégű </w:t>
            </w:r>
          </w:p>
          <w:p w:rsidR="002D4AC6" w:rsidRPr="00920CB0" w:rsidRDefault="002D4AC6" w:rsidP="009849F7">
            <w:pPr>
              <w:tabs>
                <w:tab w:val="center" w:pos="5387"/>
                <w:tab w:val="center" w:pos="7797"/>
              </w:tabs>
              <w:spacing w:before="120"/>
              <w:ind w:left="425"/>
            </w:pPr>
            <w:r>
              <w:t>kollektív befektetési értékpapírok:</w:t>
            </w:r>
            <w:r>
              <w:tab/>
              <w:t>0%</w:t>
            </w:r>
            <w:r>
              <w:tab/>
              <w:t>80%</w:t>
            </w:r>
          </w:p>
        </w:tc>
      </w:tr>
      <w:tr w:rsidR="002D4AC6" w:rsidTr="00172A57">
        <w:tc>
          <w:tcPr>
            <w:tcW w:w="8862" w:type="dxa"/>
          </w:tcPr>
          <w:p w:rsidR="002D4AC6" w:rsidRPr="00920CB0" w:rsidRDefault="002D4AC6" w:rsidP="00172A57">
            <w:pPr>
              <w:spacing w:before="120"/>
              <w:ind w:left="425"/>
            </w:pPr>
            <w:r w:rsidRPr="00920CB0">
              <w:t>Az Alap harminc százalékot meghaladó mértékben fektethet bármilyen devizában denominált értékpapírba.</w:t>
            </w:r>
          </w:p>
        </w:tc>
      </w:tr>
      <w:tr w:rsidR="002D4AC6" w:rsidTr="00172A57">
        <w:tc>
          <w:tcPr>
            <w:tcW w:w="8862" w:type="dxa"/>
          </w:tcPr>
          <w:p w:rsidR="002D4AC6" w:rsidRPr="00920CB0" w:rsidRDefault="002D4AC6" w:rsidP="00172A57">
            <w:pPr>
              <w:spacing w:before="120"/>
              <w:ind w:left="425"/>
            </w:pPr>
            <w:proofErr w:type="gramStart"/>
            <w:r>
              <w:t>Az Alap befektetési politikája alapján több intézménnyel (Concorde Értékpapír Zrt., UniCredit Bank Zrt., OTP Bank Nyrt., Deutsche Bank Zrt., Citibank Europe plc Magyarországi Fióktelepe, Raiffeisen Bank Zrt.) szembeni, az adott intézmény által kibocsátott átruházható értékpapírba vagy pénzpiaci eszközbe történő befektetésekből, az adott intézménnyel kötött OTC származtatott ügyletekből eredő összevont kockázati kitettség meghaladhatja az Alap eszközeinek 20 százalékát, ami megnöveli az Alapban a partnerkockázatot.</w:t>
            </w:r>
            <w:proofErr w:type="gramEnd"/>
          </w:p>
        </w:tc>
      </w:tr>
    </w:tbl>
    <w:p w:rsidR="002D4AC6" w:rsidRDefault="002D4AC6" w:rsidP="000F63F4">
      <w:pPr>
        <w:spacing w:before="240"/>
        <w:ind w:left="425"/>
        <w:rPr>
          <w:b/>
          <w:i/>
        </w:rPr>
      </w:pPr>
    </w:p>
    <w:p w:rsidR="002D4AC6" w:rsidRDefault="002D4AC6">
      <w:r>
        <w:br w:type="page"/>
      </w:r>
    </w:p>
    <w:tbl>
      <w:tblPr>
        <w:tblStyle w:val="Rcsostblzat"/>
        <w:tblW w:w="0" w:type="auto"/>
        <w:tblInd w:w="425" w:type="dxa"/>
        <w:tblLook w:val="04A0" w:firstRow="1" w:lastRow="0" w:firstColumn="1" w:lastColumn="0" w:noHBand="0" w:noVBand="1"/>
      </w:tblPr>
      <w:tblGrid>
        <w:gridCol w:w="8862"/>
      </w:tblGrid>
      <w:tr w:rsidR="002D4AC6" w:rsidTr="00172A57">
        <w:tc>
          <w:tcPr>
            <w:tcW w:w="8862" w:type="dxa"/>
            <w:tcBorders>
              <w:bottom w:val="single" w:sz="4" w:space="0" w:color="auto"/>
            </w:tcBorders>
            <w:shd w:val="clear" w:color="auto" w:fill="FFC000"/>
          </w:tcPr>
          <w:p w:rsidR="002D4AC6" w:rsidRPr="00920CB0" w:rsidRDefault="002D4AC6" w:rsidP="00172A57">
            <w:pPr>
              <w:pStyle w:val="Listaszerbekezds"/>
              <w:spacing w:before="240"/>
              <w:ind w:left="360"/>
              <w:rPr>
                <w:b/>
                <w:i/>
              </w:rPr>
            </w:pPr>
            <w:r w:rsidRPr="002D4AC6">
              <w:rPr>
                <w:b/>
                <w:i/>
              </w:rPr>
              <w:lastRenderedPageBreak/>
              <w:t>Concorde Pénzpiaci Befektetési Alap</w:t>
            </w:r>
          </w:p>
        </w:tc>
      </w:tr>
      <w:tr w:rsidR="002D4AC6" w:rsidTr="00172A57">
        <w:tc>
          <w:tcPr>
            <w:tcW w:w="8862" w:type="dxa"/>
            <w:shd w:val="clear" w:color="auto" w:fill="D9D9D9" w:themeFill="background1" w:themeFillShade="D9"/>
          </w:tcPr>
          <w:p w:rsidR="002D4AC6" w:rsidRDefault="002D4AC6" w:rsidP="00172A57">
            <w:pPr>
              <w:spacing w:before="120"/>
              <w:ind w:left="425"/>
              <w:rPr>
                <w:b/>
                <w:i/>
              </w:rPr>
            </w:pPr>
            <w:r w:rsidRPr="002B39BF">
              <w:rPr>
                <w:i/>
              </w:rPr>
              <w:t>Befektetési stratégia, az összegyűjtött tőke felhasználásának célja</w:t>
            </w:r>
          </w:p>
        </w:tc>
      </w:tr>
      <w:tr w:rsidR="002D4AC6" w:rsidTr="00172A57">
        <w:tc>
          <w:tcPr>
            <w:tcW w:w="8862" w:type="dxa"/>
            <w:tcBorders>
              <w:bottom w:val="single" w:sz="4" w:space="0" w:color="auto"/>
            </w:tcBorders>
          </w:tcPr>
          <w:p w:rsidR="002D4AC6" w:rsidRDefault="002D4AC6" w:rsidP="00172A57">
            <w:pPr>
              <w:spacing w:before="120"/>
              <w:ind w:left="425"/>
              <w:rPr>
                <w:b/>
                <w:i/>
              </w:rPr>
            </w:pPr>
            <w:r w:rsidRPr="002D4AC6">
              <w:t xml:space="preserve">Az Alapkezelő célja, hogy a forgalmazó cégeknél részvények adásvételét folytató befektetők az Alap Befektetési Jegyeinek megvásárlásával </w:t>
            </w:r>
            <w:proofErr w:type="gramStart"/>
            <w:r w:rsidRPr="002D4AC6">
              <w:t>rövid távon</w:t>
            </w:r>
            <w:proofErr w:type="gramEnd"/>
            <w:r w:rsidRPr="002D4AC6">
              <w:t xml:space="preserve"> be nem fektetett pénzük után banki látra szóló betét szintű hozamot érhessenek el. Ennek érdekében az Alapkezelő törekszik arra, hogy az Alap nettó eszközértékének változékonysága a lehető legkisebb legyen, ezért az Alapkezelő az Alap vagyonát döntő részben rövid lejáratú belföldi pénzpiaci eszközökbe – állampapírokba, állampapír alapú repómegállapodásokba, az Alap vagyonát érintő kamatkockázat csökkentését szolgáló egyéb pénzpiaci eszközökbe – fekteti.</w:t>
            </w:r>
          </w:p>
        </w:tc>
      </w:tr>
      <w:tr w:rsidR="002D4AC6" w:rsidTr="00172A57">
        <w:tc>
          <w:tcPr>
            <w:tcW w:w="8862" w:type="dxa"/>
            <w:shd w:val="clear" w:color="auto" w:fill="D9D9D9" w:themeFill="background1" w:themeFillShade="D9"/>
          </w:tcPr>
          <w:p w:rsidR="002D4AC6" w:rsidRPr="00920CB0" w:rsidRDefault="002D4AC6" w:rsidP="00172A57">
            <w:pPr>
              <w:spacing w:before="120"/>
              <w:ind w:left="425"/>
              <w:rPr>
                <w:i/>
              </w:rPr>
            </w:pPr>
            <w:r w:rsidRPr="002B39BF">
              <w:rPr>
                <w:i/>
              </w:rPr>
              <w:t>Referenciahozam (benchmark)</w:t>
            </w:r>
          </w:p>
        </w:tc>
      </w:tr>
      <w:tr w:rsidR="002D4AC6" w:rsidTr="00172A57">
        <w:tc>
          <w:tcPr>
            <w:tcW w:w="8862" w:type="dxa"/>
            <w:tcBorders>
              <w:bottom w:val="single" w:sz="4" w:space="0" w:color="auto"/>
            </w:tcBorders>
          </w:tcPr>
          <w:p w:rsidR="002D4AC6" w:rsidRDefault="002D4AC6" w:rsidP="00172A57">
            <w:pPr>
              <w:spacing w:before="120"/>
              <w:ind w:left="425"/>
              <w:rPr>
                <w:b/>
                <w:i/>
              </w:rPr>
            </w:pPr>
            <w:r w:rsidRPr="002D4AC6">
              <w:t>Minden hónap elejétől a hónap végéig a lakossági – bankrendszer egésze alapján számolt – havi látra szóló forintbetét átlagkamata. (Forrás: MNB.)</w:t>
            </w:r>
          </w:p>
        </w:tc>
      </w:tr>
      <w:tr w:rsidR="002D4AC6" w:rsidTr="00172A57">
        <w:tc>
          <w:tcPr>
            <w:tcW w:w="8862" w:type="dxa"/>
            <w:shd w:val="clear" w:color="auto" w:fill="D9D9D9" w:themeFill="background1" w:themeFillShade="D9"/>
          </w:tcPr>
          <w:p w:rsidR="002D4AC6" w:rsidRPr="00920CB0" w:rsidRDefault="002D4AC6" w:rsidP="00172A57">
            <w:pPr>
              <w:spacing w:before="120"/>
              <w:ind w:left="425"/>
              <w:rPr>
                <w:i/>
              </w:rPr>
            </w:pPr>
            <w:r w:rsidRPr="002B39BF">
              <w:rPr>
                <w:i/>
              </w:rPr>
              <w:t>Az Alap portfóliójának lehetséges elemei</w:t>
            </w:r>
          </w:p>
        </w:tc>
      </w:tr>
      <w:tr w:rsidR="002D4AC6" w:rsidTr="00172A57">
        <w:tc>
          <w:tcPr>
            <w:tcW w:w="8862" w:type="dxa"/>
            <w:tcBorders>
              <w:bottom w:val="single" w:sz="4" w:space="0" w:color="auto"/>
            </w:tcBorders>
          </w:tcPr>
          <w:p w:rsidR="002D4AC6" w:rsidRDefault="002D4AC6" w:rsidP="00172A57">
            <w:pPr>
              <w:spacing w:before="120"/>
              <w:ind w:left="425"/>
            </w:pPr>
            <w:r w:rsidRPr="002D4AC6">
              <w:t xml:space="preserve">Az Alapkezelő az Alap vagyonát belföldi pénzpiaci eszközökbe – döntően állampapírokba, állampapír alapú repómegállapodásokba, az Alap vagyonát érintő kamatkockázat csökkentését szolgáló egyéb pénzpiaci eszközökbe – fekteti. </w:t>
            </w:r>
            <w:proofErr w:type="gramStart"/>
            <w:r w:rsidRPr="002D4AC6">
              <w:t>Ezenkívül</w:t>
            </w:r>
            <w:proofErr w:type="gramEnd"/>
            <w:r w:rsidRPr="002D4AC6">
              <w:t xml:space="preserve"> az Alap harmadik féllel – a Tpt. betartásával – kamatoptimalizációs szerződéseket köthet, melynek célja a banki látra szóló betétben tartott eszközökénél magasabb hozam elérése. Nem jelentős súllyal, de az Alapkezelő alacsony kockázatú változó kamatozású vagy legfeljebb egy éven belül lejáró vállalati és egyéb kötvényeket, valamint jelzálogleveleket is vásárolhat az Alap portfóliójába. Az Alap portfóliója kizárólag legfeljebb 365 napon belül lejáró vagy változó kamatozású eszközökbe fektethető be. Az Alapkezelő törekszik rá, hogy az Alap portfóliójának hátralévő átlagos futamideje a 90 napot ne haladja meg.</w:t>
            </w:r>
          </w:p>
          <w:p w:rsidR="009849F7" w:rsidRPr="00920CB0" w:rsidRDefault="009849F7" w:rsidP="009849F7">
            <w:pPr>
              <w:spacing w:before="120"/>
              <w:ind w:left="425"/>
            </w:pPr>
            <w:r>
              <w:t>Az Alapkezelő a hatékony portfóliókezelés céljából az Alapba nyithat határidős deviza ügyleteket is az Alap eszközértékének 30%-áig.</w:t>
            </w:r>
          </w:p>
        </w:tc>
      </w:tr>
      <w:tr w:rsidR="002D4AC6" w:rsidTr="00172A57">
        <w:tc>
          <w:tcPr>
            <w:tcW w:w="8862" w:type="dxa"/>
            <w:shd w:val="clear" w:color="auto" w:fill="D9D9D9" w:themeFill="background1" w:themeFillShade="D9"/>
          </w:tcPr>
          <w:p w:rsidR="002D4AC6" w:rsidRPr="00920CB0" w:rsidRDefault="002D4AC6" w:rsidP="00172A57">
            <w:pPr>
              <w:spacing w:before="120"/>
              <w:ind w:left="425"/>
              <w:rPr>
                <w:i/>
              </w:rPr>
            </w:pPr>
            <w:r w:rsidRPr="002B39BF">
              <w:rPr>
                <w:i/>
              </w:rPr>
              <w:t>Az egyes eszközkategóriák minimális és maximális aránya:</w:t>
            </w:r>
          </w:p>
        </w:tc>
      </w:tr>
      <w:tr w:rsidR="002D4AC6" w:rsidTr="00172A57">
        <w:tc>
          <w:tcPr>
            <w:tcW w:w="8862" w:type="dxa"/>
          </w:tcPr>
          <w:p w:rsidR="002D4AC6" w:rsidRDefault="002D4AC6" w:rsidP="00172A57">
            <w:pPr>
              <w:tabs>
                <w:tab w:val="center" w:pos="5387"/>
                <w:tab w:val="center" w:pos="7797"/>
              </w:tabs>
              <w:spacing w:before="120"/>
              <w:ind w:left="425"/>
            </w:pPr>
            <w:r>
              <w:t>Eszközkategória</w:t>
            </w:r>
            <w:r>
              <w:tab/>
              <w:t>minimális részarány</w:t>
            </w:r>
            <w:r>
              <w:tab/>
              <w:t>maximális részarány</w:t>
            </w:r>
          </w:p>
          <w:p w:rsidR="002D4AC6" w:rsidRDefault="002D4AC6" w:rsidP="002D4AC6">
            <w:pPr>
              <w:tabs>
                <w:tab w:val="center" w:pos="5387"/>
                <w:tab w:val="center" w:pos="7797"/>
              </w:tabs>
              <w:spacing w:before="120"/>
              <w:ind w:left="425"/>
            </w:pPr>
            <w:r>
              <w:t>Likvid eszközök (azonnali fizetőképességhez):</w:t>
            </w:r>
            <w:r>
              <w:tab/>
              <w:t>0%</w:t>
            </w:r>
            <w:r>
              <w:tab/>
              <w:t>100%</w:t>
            </w:r>
          </w:p>
          <w:p w:rsidR="002D4AC6" w:rsidRDefault="002D4AC6" w:rsidP="002D4AC6">
            <w:pPr>
              <w:tabs>
                <w:tab w:val="center" w:pos="5387"/>
                <w:tab w:val="center" w:pos="7797"/>
              </w:tabs>
              <w:spacing w:before="120"/>
              <w:ind w:left="425"/>
            </w:pPr>
            <w:proofErr w:type="gramStart"/>
            <w:r>
              <w:t>Diszkont kincstárjegyek</w:t>
            </w:r>
            <w:proofErr w:type="gramEnd"/>
            <w:r>
              <w:t xml:space="preserve"> és MNB-kötvények:</w:t>
            </w:r>
            <w:r>
              <w:tab/>
              <w:t>0%</w:t>
            </w:r>
            <w:r>
              <w:tab/>
              <w:t>100%</w:t>
            </w:r>
          </w:p>
          <w:p w:rsidR="002D4AC6" w:rsidRDefault="002D4AC6" w:rsidP="002D4AC6">
            <w:pPr>
              <w:tabs>
                <w:tab w:val="center" w:pos="5387"/>
                <w:tab w:val="center" w:pos="7797"/>
              </w:tabs>
              <w:spacing w:before="120"/>
              <w:ind w:left="425"/>
            </w:pPr>
            <w:r>
              <w:t>Államkötvények:</w:t>
            </w:r>
            <w:r>
              <w:tab/>
              <w:t>0%</w:t>
            </w:r>
            <w:r>
              <w:tab/>
              <w:t>90%</w:t>
            </w:r>
          </w:p>
          <w:p w:rsidR="002D4AC6" w:rsidRDefault="002D4AC6" w:rsidP="002D4AC6">
            <w:pPr>
              <w:tabs>
                <w:tab w:val="center" w:pos="5387"/>
                <w:tab w:val="center" w:pos="7797"/>
              </w:tabs>
              <w:spacing w:before="120"/>
              <w:ind w:left="425"/>
            </w:pPr>
            <w:r>
              <w:t>Vállalati kötvények:</w:t>
            </w:r>
            <w:r>
              <w:tab/>
              <w:t>0%</w:t>
            </w:r>
            <w:r>
              <w:tab/>
              <w:t>30%</w:t>
            </w:r>
          </w:p>
          <w:p w:rsidR="002D4AC6" w:rsidRDefault="002D4AC6" w:rsidP="002D4AC6">
            <w:pPr>
              <w:tabs>
                <w:tab w:val="center" w:pos="5387"/>
                <w:tab w:val="center" w:pos="7797"/>
              </w:tabs>
              <w:spacing w:before="120"/>
              <w:ind w:left="425"/>
            </w:pPr>
            <w:r>
              <w:t>Egyéb kötvények:</w:t>
            </w:r>
            <w:r>
              <w:tab/>
              <w:t>0%</w:t>
            </w:r>
            <w:r>
              <w:tab/>
              <w:t>30%</w:t>
            </w:r>
          </w:p>
          <w:p w:rsidR="002D4AC6" w:rsidRDefault="002D4AC6" w:rsidP="002D4AC6">
            <w:pPr>
              <w:tabs>
                <w:tab w:val="center" w:pos="5387"/>
                <w:tab w:val="center" w:pos="7797"/>
              </w:tabs>
              <w:spacing w:before="120"/>
              <w:ind w:left="425"/>
            </w:pPr>
            <w:r>
              <w:t>Jelzáloglevelek:</w:t>
            </w:r>
            <w:r>
              <w:tab/>
              <w:t>0%</w:t>
            </w:r>
            <w:r>
              <w:tab/>
              <w:t>25%</w:t>
            </w:r>
          </w:p>
          <w:p w:rsidR="002D4AC6" w:rsidRDefault="002D4AC6" w:rsidP="002D4AC6">
            <w:pPr>
              <w:tabs>
                <w:tab w:val="center" w:pos="5387"/>
                <w:tab w:val="center" w:pos="7797"/>
              </w:tabs>
              <w:spacing w:before="120"/>
              <w:ind w:left="425"/>
            </w:pPr>
            <w:r>
              <w:t>Tőzsdére be nem vezetett nyilvános nyíltvégű kollektív</w:t>
            </w:r>
          </w:p>
          <w:p w:rsidR="002D4AC6" w:rsidRDefault="002D4AC6" w:rsidP="002D4AC6">
            <w:pPr>
              <w:tabs>
                <w:tab w:val="center" w:pos="5387"/>
                <w:tab w:val="center" w:pos="7797"/>
              </w:tabs>
              <w:spacing w:before="120"/>
              <w:ind w:left="425"/>
            </w:pPr>
            <w:r>
              <w:t xml:space="preserve"> befektetési értékpapírok:</w:t>
            </w:r>
            <w:r>
              <w:tab/>
              <w:t>0%</w:t>
            </w:r>
            <w:r>
              <w:tab/>
              <w:t>10%</w:t>
            </w:r>
          </w:p>
          <w:p w:rsidR="002D4AC6" w:rsidRDefault="002D4AC6" w:rsidP="002D4AC6">
            <w:pPr>
              <w:tabs>
                <w:tab w:val="center" w:pos="5387"/>
                <w:tab w:val="center" w:pos="7797"/>
              </w:tabs>
              <w:spacing w:before="120"/>
              <w:ind w:left="425"/>
            </w:pPr>
            <w:r>
              <w:t xml:space="preserve">Nem nyilvános vagy zárt végű kollektív befektetési </w:t>
            </w:r>
          </w:p>
          <w:p w:rsidR="002D4AC6" w:rsidRDefault="002D4AC6" w:rsidP="002D4AC6">
            <w:pPr>
              <w:tabs>
                <w:tab w:val="center" w:pos="5387"/>
                <w:tab w:val="center" w:pos="7797"/>
              </w:tabs>
              <w:spacing w:before="120"/>
              <w:ind w:left="425"/>
            </w:pPr>
            <w:r>
              <w:t>értékpapírok:</w:t>
            </w:r>
            <w:r>
              <w:tab/>
              <w:t>0%</w:t>
            </w:r>
            <w:r>
              <w:tab/>
              <w:t>5%</w:t>
            </w:r>
          </w:p>
          <w:p w:rsidR="002D4AC6" w:rsidRPr="00920CB0" w:rsidRDefault="002D4AC6" w:rsidP="002D4AC6">
            <w:pPr>
              <w:tabs>
                <w:tab w:val="center" w:pos="5387"/>
                <w:tab w:val="center" w:pos="7797"/>
              </w:tabs>
              <w:spacing w:before="120"/>
              <w:ind w:left="425"/>
            </w:pPr>
            <w:r>
              <w:t>Származtatott ügyletek:</w:t>
            </w:r>
            <w:r>
              <w:tab/>
              <w:t>0%</w:t>
            </w:r>
            <w:r>
              <w:tab/>
              <w:t>30%</w:t>
            </w:r>
          </w:p>
        </w:tc>
      </w:tr>
      <w:tr w:rsidR="002D4AC6" w:rsidTr="00172A57">
        <w:tc>
          <w:tcPr>
            <w:tcW w:w="8862" w:type="dxa"/>
          </w:tcPr>
          <w:p w:rsidR="002D4AC6" w:rsidRPr="00920CB0" w:rsidRDefault="002D4AC6" w:rsidP="00172A57">
            <w:pPr>
              <w:spacing w:before="120"/>
              <w:ind w:left="425"/>
            </w:pPr>
            <w:r w:rsidRPr="002D4AC6">
              <w:t>Az Alap portfóliójának hátralévő átlagos futamideje nem haladhatja meg a 0,75 évet. A hátralévő átlagos futamidő számításához nem kell figyelembe venni a lejárat nélküli értékpapírokat.</w:t>
            </w:r>
          </w:p>
        </w:tc>
      </w:tr>
      <w:tr w:rsidR="002D4AC6" w:rsidTr="00172A57">
        <w:tc>
          <w:tcPr>
            <w:tcW w:w="8862" w:type="dxa"/>
          </w:tcPr>
          <w:p w:rsidR="002D4AC6" w:rsidRPr="00920CB0" w:rsidRDefault="002D4AC6" w:rsidP="00172A57">
            <w:pPr>
              <w:spacing w:before="120"/>
              <w:ind w:left="425"/>
            </w:pPr>
            <w:proofErr w:type="gramStart"/>
            <w:r>
              <w:t>Az Alap befektetési politikája alapján több intézménnyel (Concorde Értékpapír Zrt., UniCredit Bank Zrt., OTP Bank Nyrt., Deutsche Bank Zrt., Citibank Europe plc Magyarországi Fióktelepe, Raiffeisen Bank Zrt.) szembeni, az adott intézmény által kibocsátott átruházható értékpapírba vagy pénzpiaci eszközbe történő befektetésekből, az adott intézménnyel kötött OTC származtatott ügyletekből eredő összevont kockázati kitettség meghaladhatja az Alap eszközeinek 20 százalékát, ami megnöveli az Alapban a partnerkockázatot.</w:t>
            </w:r>
            <w:proofErr w:type="gramEnd"/>
          </w:p>
        </w:tc>
      </w:tr>
    </w:tbl>
    <w:p w:rsidR="002D4AC6" w:rsidRDefault="002D4AC6" w:rsidP="000F63F4">
      <w:pPr>
        <w:spacing w:before="240"/>
        <w:ind w:left="425"/>
        <w:rPr>
          <w:b/>
          <w:i/>
        </w:rPr>
      </w:pPr>
    </w:p>
    <w:p w:rsidR="00740769" w:rsidRPr="00D77120" w:rsidRDefault="00740769" w:rsidP="00FE5F5C">
      <w:pPr>
        <w:pStyle w:val="Cmsor2"/>
        <w:keepLines w:val="0"/>
        <w:numPr>
          <w:ilvl w:val="0"/>
          <w:numId w:val="32"/>
        </w:numPr>
        <w:rPr>
          <w:u w:val="single"/>
        </w:rPr>
      </w:pPr>
      <w:bookmarkStart w:id="55" w:name="_Toc349832306"/>
      <w:r w:rsidRPr="00D77120">
        <w:rPr>
          <w:u w:val="single"/>
        </w:rPr>
        <w:lastRenderedPageBreak/>
        <w:t>A cél-ÁÉKBV, illetve annak részalapjának megnevezése:</w:t>
      </w:r>
      <w:bookmarkEnd w:id="55"/>
    </w:p>
    <w:p w:rsidR="00896B96" w:rsidRPr="00D77120" w:rsidRDefault="002E0FCD" w:rsidP="000F63F4">
      <w:pPr>
        <w:spacing w:before="240"/>
        <w:ind w:left="425"/>
      </w:pPr>
      <w:r w:rsidRPr="002E0FCD">
        <w:t>Nem alkalmazandó.</w:t>
      </w:r>
    </w:p>
    <w:p w:rsidR="00294BFA" w:rsidRPr="00D77120" w:rsidRDefault="002E0FCD" w:rsidP="002E0FCD">
      <w:pPr>
        <w:pStyle w:val="Cmsor2"/>
        <w:keepLines w:val="0"/>
        <w:numPr>
          <w:ilvl w:val="0"/>
          <w:numId w:val="32"/>
        </w:numPr>
        <w:rPr>
          <w:u w:val="single"/>
        </w:rPr>
      </w:pPr>
      <w:bookmarkStart w:id="56" w:name="_Toc349832307"/>
      <w:r w:rsidRPr="002E0FCD">
        <w:rPr>
          <w:u w:val="single"/>
        </w:rPr>
        <w:t xml:space="preserve">Az adott tárgykörre vonatkozó </w:t>
      </w:r>
      <w:r>
        <w:rPr>
          <w:u w:val="single"/>
        </w:rPr>
        <w:t>e</w:t>
      </w:r>
      <w:r w:rsidR="00294BFA" w:rsidRPr="00D77120">
        <w:rPr>
          <w:u w:val="single"/>
        </w:rPr>
        <w:t>gyéb információk:</w:t>
      </w:r>
      <w:bookmarkEnd w:id="56"/>
    </w:p>
    <w:p w:rsidR="00D100A5" w:rsidRPr="00D77120" w:rsidRDefault="00D100A5" w:rsidP="000F63F4">
      <w:pPr>
        <w:spacing w:before="240"/>
        <w:ind w:left="425"/>
      </w:pPr>
      <w:proofErr w:type="gramStart"/>
      <w:r w:rsidRPr="00D77120">
        <w:t xml:space="preserve">Az Alap befektetési politikája alapján több intézménnyel (Concorde Értékpapír Zrt., UniCredit Bank </w:t>
      </w:r>
      <w:r w:rsidR="00B86A3E" w:rsidRPr="00D77120">
        <w:t xml:space="preserve">Hungary </w:t>
      </w:r>
      <w:r w:rsidRPr="00D77120">
        <w:t xml:space="preserve">Zrt., OTP Bank Nyrt., Deutsche Bank Zrt., Citibank Europe plc Magyarországi Fióktelepe, Raiffeisen Bank Zrt.) szembeni, az adott intézmény által kibocsátott átruházható értékpapírba vagy pénzpiaci eszközbe történő befektetésekből, az adott intézménnyel kötött OTC származtatott ügyletekből eredő összevont kockázati kitettség meghaladhatja az Alap eszközeinek 20 százalékát, ami megnöveli </w:t>
      </w:r>
      <w:r w:rsidR="00072B3A">
        <w:t>az Alapban a partnerkockázatot.</w:t>
      </w:r>
      <w:proofErr w:type="gramEnd"/>
    </w:p>
    <w:p w:rsidR="00D100A5" w:rsidRPr="00D77120" w:rsidRDefault="00D100A5" w:rsidP="000F63F4">
      <w:pPr>
        <w:spacing w:before="240"/>
        <w:ind w:left="425"/>
      </w:pPr>
      <w:r w:rsidRPr="00D77120">
        <w:t>Az Alapkezelő az Alap befektetési politikáját a 345/2011. (XII. 29.) Korm. rendelet és a jelen Kezelési Szabályzat keretein belül saját megítélése szerint hajtja végre.</w:t>
      </w:r>
    </w:p>
    <w:p w:rsidR="00294BFA" w:rsidRPr="00D77120" w:rsidRDefault="00294BFA" w:rsidP="00FE5F5C">
      <w:pPr>
        <w:pStyle w:val="Cmsor2"/>
        <w:keepLines w:val="0"/>
        <w:numPr>
          <w:ilvl w:val="0"/>
          <w:numId w:val="32"/>
        </w:numPr>
        <w:rPr>
          <w:u w:val="single"/>
        </w:rPr>
      </w:pPr>
      <w:bookmarkStart w:id="57" w:name="_Toc349832308"/>
      <w:r w:rsidRPr="00D77120">
        <w:rPr>
          <w:u w:val="single"/>
        </w:rPr>
        <w:t>Származtatott ügyletekkel kapcsolatos információk:</w:t>
      </w:r>
      <w:bookmarkEnd w:id="57"/>
    </w:p>
    <w:p w:rsidR="00294BFA" w:rsidRPr="00D77120" w:rsidRDefault="00294BFA" w:rsidP="000F63F4">
      <w:pPr>
        <w:spacing w:before="240"/>
        <w:ind w:left="425"/>
      </w:pPr>
      <w:r w:rsidRPr="00D77120">
        <w:t xml:space="preserve">Származtatott ügyletnek tekintjük az értékpapírokra, értékpapírokon alapuló tőzsdei szabványosított származtatott termékekre, kamatlábra, devizára kötött határidős, opciós és swap-ügyleteket. Nem minősülnek határidős ügyletnek azok az ügyletek, amelyek a </w:t>
      </w:r>
      <w:proofErr w:type="gramStart"/>
      <w:r w:rsidRPr="00D77120">
        <w:t>tőzsdei</w:t>
      </w:r>
      <w:proofErr w:type="gramEnd"/>
      <w:r w:rsidRPr="00D77120">
        <w:t xml:space="preserve"> prompt ügyleteknél, illetve 6 tőzsdenapnál nem hosszabb teljesítési időt tartalmaznak, valamint a jegyzések és az aukciókon kötött ügyletek. Az alább felsorolt korlátozások nem vonatkoznak a hitelintézettel állampapírra kötött repó ügyletekre.</w:t>
      </w:r>
    </w:p>
    <w:p w:rsidR="00EF0225" w:rsidRDefault="002E0FCD" w:rsidP="002E0FCD">
      <w:pPr>
        <w:pStyle w:val="Cmsor2"/>
        <w:keepLines w:val="0"/>
        <w:numPr>
          <w:ilvl w:val="1"/>
          <w:numId w:val="32"/>
        </w:numPr>
      </w:pPr>
      <w:bookmarkStart w:id="58" w:name="_Toc349832309"/>
      <w:r w:rsidRPr="002E0FCD">
        <w:t>Származtatott ügyletek alkalmazása esetén arra vonatkozó információ, hogy a származtatott ügyletek alkalmazására fedezeti célból vagy a befektetési célok megvalósítása érdekében van lehetőség</w:t>
      </w:r>
      <w:r>
        <w:t>:</w:t>
      </w:r>
      <w:bookmarkEnd w:id="58"/>
    </w:p>
    <w:p w:rsidR="002E0FCD" w:rsidRPr="002E0FCD" w:rsidRDefault="002E0FCD" w:rsidP="002E0FCD">
      <w:pPr>
        <w:spacing w:before="240"/>
        <w:ind w:left="425"/>
      </w:pPr>
      <w:r w:rsidRPr="00172A57">
        <w:t>Az Alap fedezeti célból és befektetési céljainak megvalósítása érdekében is köthet származtatott ügyleteket.</w:t>
      </w:r>
    </w:p>
    <w:p w:rsidR="00EF0225" w:rsidRPr="00D77120" w:rsidRDefault="002934C9" w:rsidP="00FC245C">
      <w:pPr>
        <w:pStyle w:val="Cmsor2"/>
        <w:keepLines w:val="0"/>
        <w:numPr>
          <w:ilvl w:val="1"/>
          <w:numId w:val="32"/>
        </w:numPr>
      </w:pPr>
      <w:bookmarkStart w:id="59" w:name="_Toc349832310"/>
      <w:r w:rsidRPr="00D77120">
        <w:t>A származtatott termékek illetve származtatott ügyletek lehetséges köre:</w:t>
      </w:r>
      <w:bookmarkEnd w:id="59"/>
    </w:p>
    <w:p w:rsidR="002934C9" w:rsidRPr="00D77120" w:rsidRDefault="002934C9" w:rsidP="006A40E9">
      <w:pPr>
        <w:spacing w:before="240"/>
        <w:ind w:left="425"/>
      </w:pPr>
      <w:r w:rsidRPr="00D77120">
        <w:t>Az Alap az alábbi eszközökre szóló származtatott ügyleteket köthet:</w:t>
      </w:r>
    </w:p>
    <w:p w:rsidR="002934C9" w:rsidRPr="00D77120" w:rsidRDefault="002934C9" w:rsidP="006A40E9">
      <w:pPr>
        <w:pStyle w:val="Listaszerbekezds"/>
        <w:numPr>
          <w:ilvl w:val="0"/>
          <w:numId w:val="42"/>
        </w:numPr>
        <w:spacing w:before="120"/>
        <w:ind w:left="1139" w:hanging="357"/>
      </w:pPr>
      <w:r w:rsidRPr="00D77120">
        <w:t>értékpapírok</w:t>
      </w:r>
    </w:p>
    <w:p w:rsidR="002934C9" w:rsidRPr="00D77120" w:rsidRDefault="002934C9" w:rsidP="006A40E9">
      <w:pPr>
        <w:pStyle w:val="Listaszerbekezds"/>
        <w:numPr>
          <w:ilvl w:val="0"/>
          <w:numId w:val="42"/>
        </w:numPr>
        <w:spacing w:before="120"/>
        <w:ind w:left="1139" w:hanging="357"/>
      </w:pPr>
      <w:r w:rsidRPr="00D77120">
        <w:t>értékpapírokon alapuló tőzsdei szabványosított származtatott termékek</w:t>
      </w:r>
    </w:p>
    <w:p w:rsidR="002934C9" w:rsidRPr="00D77120" w:rsidRDefault="002934C9" w:rsidP="006A40E9">
      <w:pPr>
        <w:pStyle w:val="Listaszerbekezds"/>
        <w:numPr>
          <w:ilvl w:val="0"/>
          <w:numId w:val="42"/>
        </w:numPr>
        <w:spacing w:before="240"/>
      </w:pPr>
      <w:r w:rsidRPr="00D77120">
        <w:t>kamatláb</w:t>
      </w:r>
    </w:p>
    <w:p w:rsidR="002934C9" w:rsidRPr="00D77120" w:rsidRDefault="002934C9" w:rsidP="006A40E9">
      <w:pPr>
        <w:pStyle w:val="Listaszerbekezds"/>
        <w:numPr>
          <w:ilvl w:val="0"/>
          <w:numId w:val="42"/>
        </w:numPr>
        <w:spacing w:before="240"/>
      </w:pPr>
      <w:r w:rsidRPr="00D77120">
        <w:t>deviza</w:t>
      </w:r>
    </w:p>
    <w:p w:rsidR="002934C9" w:rsidRPr="00D77120" w:rsidRDefault="002934C9" w:rsidP="006A40E9">
      <w:pPr>
        <w:pStyle w:val="Listaszerbekezds"/>
        <w:numPr>
          <w:ilvl w:val="0"/>
          <w:numId w:val="42"/>
        </w:numPr>
        <w:spacing w:before="240"/>
      </w:pPr>
      <w:r w:rsidRPr="00D77120">
        <w:t xml:space="preserve">árupiaci termékek, feltéve, hogy a származtatott ügylet </w:t>
      </w:r>
      <w:r w:rsidR="00434704" w:rsidRPr="00D77120">
        <w:t>nem zárulhat fizikai teljesítéssel</w:t>
      </w:r>
    </w:p>
    <w:p w:rsidR="00434704" w:rsidRPr="00D77120" w:rsidRDefault="00434704" w:rsidP="00FC245C">
      <w:pPr>
        <w:pStyle w:val="Cmsor2"/>
        <w:keepLines w:val="0"/>
        <w:numPr>
          <w:ilvl w:val="1"/>
          <w:numId w:val="32"/>
        </w:numPr>
      </w:pPr>
      <w:bookmarkStart w:id="60" w:name="_Toc349832311"/>
      <w:r w:rsidRPr="00D77120">
        <w:t>Azon jogszabályhely megjelölése, amelynek alapján a befektetési alap eltérési lehetőséggel élt:</w:t>
      </w:r>
      <w:bookmarkEnd w:id="60"/>
    </w:p>
    <w:p w:rsidR="00434704" w:rsidRPr="00D77120" w:rsidRDefault="009A494F" w:rsidP="00FE5F5C">
      <w:pPr>
        <w:spacing w:before="240"/>
        <w:ind w:left="425"/>
      </w:pPr>
      <w:r>
        <w:t>Nem alkal</w:t>
      </w:r>
      <w:r w:rsidR="00172A57">
        <w:t>m</w:t>
      </w:r>
      <w:r>
        <w:t>a</w:t>
      </w:r>
      <w:r w:rsidR="00172A57">
        <w:t>zandó</w:t>
      </w:r>
      <w:r w:rsidR="00434704" w:rsidRPr="00D77120">
        <w:t>.</w:t>
      </w:r>
    </w:p>
    <w:p w:rsidR="00434704" w:rsidRPr="00D77120" w:rsidRDefault="00434704" w:rsidP="00FC245C">
      <w:pPr>
        <w:pStyle w:val="Cmsor2"/>
        <w:keepLines w:val="0"/>
        <w:numPr>
          <w:ilvl w:val="1"/>
          <w:numId w:val="32"/>
        </w:numPr>
      </w:pPr>
      <w:bookmarkStart w:id="61" w:name="_Toc349832312"/>
      <w:r w:rsidRPr="00D77120">
        <w:t>A származtatott ügylettel kapcsolatos befektetési korlátok:</w:t>
      </w:r>
      <w:bookmarkEnd w:id="61"/>
    </w:p>
    <w:p w:rsidR="00294BFA" w:rsidRPr="00D77120" w:rsidRDefault="00294BFA" w:rsidP="00FE5F5C">
      <w:pPr>
        <w:spacing w:before="240"/>
        <w:ind w:left="425"/>
      </w:pPr>
      <w:r w:rsidRPr="00D77120">
        <w:t xml:space="preserve">A 22. § szerint: </w:t>
      </w:r>
    </w:p>
    <w:p w:rsidR="00294BFA" w:rsidRPr="00D77120" w:rsidRDefault="00294BFA" w:rsidP="00FE5F5C">
      <w:pPr>
        <w:spacing w:before="120"/>
        <w:ind w:left="709"/>
      </w:pPr>
      <w:r w:rsidRPr="00D77120">
        <w:t>(1) A befektetési alap az alábbi feltételekkel köthet származtatott ügyletet:</w:t>
      </w:r>
    </w:p>
    <w:p w:rsidR="00294BFA" w:rsidRPr="00D77120" w:rsidRDefault="00294BFA" w:rsidP="00FE5F5C">
      <w:pPr>
        <w:spacing w:before="120"/>
        <w:ind w:left="993"/>
      </w:pPr>
      <w:proofErr w:type="gramStart"/>
      <w:r w:rsidRPr="00D77120">
        <w:t>a</w:t>
      </w:r>
      <w:proofErr w:type="gramEnd"/>
      <w:r w:rsidRPr="00D77120">
        <w:t xml:space="preserve">) </w:t>
      </w:r>
      <w:proofErr w:type="spellStart"/>
      <w:r w:rsidRPr="00D77120">
        <w:t>a</w:t>
      </w:r>
      <w:proofErr w:type="spellEnd"/>
      <w:r w:rsidRPr="00D77120">
        <w:t xml:space="preserve"> származtatott ügylet a portfólió hatékony kezelésének célját szolgálja,</w:t>
      </w:r>
    </w:p>
    <w:p w:rsidR="00294BFA" w:rsidRPr="00D77120" w:rsidRDefault="00294BFA" w:rsidP="00FE5F5C">
      <w:pPr>
        <w:spacing w:before="120"/>
        <w:ind w:left="993"/>
      </w:pPr>
      <w:r w:rsidRPr="00D77120">
        <w:t>b) az ügylet kötése nem jár a (2) és (3) bekezdésben megállapított befektetési korlátok megsértésével.</w:t>
      </w:r>
    </w:p>
    <w:p w:rsidR="00294BFA" w:rsidRPr="00D77120" w:rsidRDefault="00294BFA" w:rsidP="00FE5F5C">
      <w:pPr>
        <w:spacing w:before="120"/>
        <w:ind w:left="993"/>
      </w:pPr>
      <w:r w:rsidRPr="00D77120">
        <w:t>c) a származtatott ügylet értéke nyilvános árinformáció alapján a nettó eszközérték-számítás gyakoriságának megfelelően megállapítható, továbbá a származtatott ügylet – figyelembe véve a befektetési jegyek visszaváltási feltételeit – kellő időben a megfelelő piaci áron lezárható, elszámolható.</w:t>
      </w:r>
    </w:p>
    <w:p w:rsidR="00294BFA" w:rsidRPr="00D77120" w:rsidRDefault="00294BFA" w:rsidP="00FE5F5C">
      <w:pPr>
        <w:spacing w:before="120"/>
        <w:ind w:left="709"/>
      </w:pPr>
      <w:r w:rsidRPr="00D77120">
        <w:lastRenderedPageBreak/>
        <w:t xml:space="preserve">(2) A befektetési alap – származtatott ügyletek figyelembevételével számított – teljes nettósított kockázati kitettsége </w:t>
      </w:r>
      <w:r w:rsidR="00172A57" w:rsidRPr="00CB4637">
        <w:t>nem haladhatja meg a befektetési alap nettó eszközértékének a kétszeresét</w:t>
      </w:r>
      <w:r w:rsidR="00172A57">
        <w:t>.</w:t>
      </w:r>
      <w:r w:rsidRPr="00D77120">
        <w:t xml:space="preserve"> A teljes nettósított kockázati kitettségen a befektetési alap egyes eszközeiben meglévő nettósított kockázati kitettségek abszolút értékeinek összegét kell érteni. A befektetési alapnak az egyes eszközökben meglévő nettósított kockázati kitettségét az adott eszköz aktuális értékének, továbbá az ugyanezen az eszközön alapuló származtatott ügyletekben meglévő kitettségek értékének egybeszámításával kell megállapítani, úgy hogy az ellentétes irányú ügyletekben lévő kitettségeket egymással szemben nettósítani kell. Az alap teljes nettósított kockázati kitettségére vonatkozó limitnek való megfelelés szempontjából az alap eszközeiben meglévő devizakockázatok fedezésé céljából kötött származtatott ügyleteket figyelmen kívül lehet hagyni.</w:t>
      </w:r>
    </w:p>
    <w:p w:rsidR="00294BFA" w:rsidRPr="00D77120" w:rsidRDefault="00294BFA" w:rsidP="00FE5F5C">
      <w:pPr>
        <w:spacing w:before="120"/>
        <w:ind w:left="709"/>
      </w:pPr>
      <w:r w:rsidRPr="00D77120">
        <w:t>(3) A befektetési alapnak az egyes eszközeiben meglévő nettósított kockázati kitettsége nem haladhatja meg az e rendeletben vagy az alap kezelési szabályzatában az adott eszközre megállapított befektetési korlátokat. E szabály alkalmazása során nem kell figyelembe venni az indexhez kötött származtatott ügyleteket, ugyanakkor figyelembe kell venni azt, ha egy átruházható értékpapír vagy pénzpiaci eszköz az adott eszközön alapuló származtatott ügyletet is tartalmaz.</w:t>
      </w:r>
    </w:p>
    <w:p w:rsidR="00434704" w:rsidRPr="00D77120" w:rsidRDefault="00434704" w:rsidP="00FC245C">
      <w:pPr>
        <w:pStyle w:val="Cmsor2"/>
        <w:keepLines w:val="0"/>
        <w:numPr>
          <w:ilvl w:val="1"/>
          <w:numId w:val="32"/>
        </w:numPr>
      </w:pPr>
      <w:bookmarkStart w:id="62" w:name="_Toc349832313"/>
      <w:r w:rsidRPr="00D77120">
        <w:t>Az egyes eszközökben meglévő pozíciók nettósítási szabályai:</w:t>
      </w:r>
      <w:bookmarkEnd w:id="62"/>
    </w:p>
    <w:p w:rsidR="004D0F9B" w:rsidRPr="00D77120" w:rsidRDefault="004D0F9B" w:rsidP="00FE5F5C">
      <w:pPr>
        <w:spacing w:before="240"/>
        <w:ind w:left="425"/>
      </w:pPr>
      <w:r w:rsidRPr="00D77120">
        <w:t>Az Alapnak az egyes eszközökben meglévő nettósított kockázati kitettségét az adott eszköz aktuális értékének, továbbá az ugyanezen az eszközön alapuló származtatott ügyletekben meglévő kitettségek értékének egybeszámításával kell megállapítani, úgy hogy az ellentétes irányú ügyletekben lévő kitettségeket egymással szemben nettósítani kell.</w:t>
      </w:r>
    </w:p>
    <w:p w:rsidR="004D0F9B" w:rsidRPr="00D77120" w:rsidRDefault="004D0F9B" w:rsidP="00FE5F5C">
      <w:pPr>
        <w:spacing w:before="240"/>
        <w:ind w:left="425"/>
      </w:pPr>
      <w:r w:rsidRPr="00D77120">
        <w:t xml:space="preserve">A befektetési alapkezelő az alap devizában, illetve befektetési eszközben meglévő nem származtatott hosszú (rövid) pozícióját az </w:t>
      </w:r>
      <w:proofErr w:type="gramStart"/>
      <w:r w:rsidRPr="00D77120">
        <w:t>ugyanezen</w:t>
      </w:r>
      <w:proofErr w:type="gramEnd"/>
      <w:r w:rsidRPr="00D77120">
        <w:t xml:space="preserve"> devizán, illetve befektetési eszközön alapuló rövid (hosszú) származtatott pozíciójával szemben, valamint a származtatott - ugyanazon alapul szolgáló eszközben meglévő - hosszú és rövid pozíciókat egymással szemben nettósíthatja.</w:t>
      </w:r>
    </w:p>
    <w:p w:rsidR="004D0F9B" w:rsidRPr="00D77120" w:rsidRDefault="004D0F9B" w:rsidP="00FE5F5C">
      <w:pPr>
        <w:spacing w:before="240"/>
        <w:ind w:left="425"/>
      </w:pPr>
      <w:r w:rsidRPr="00D77120">
        <w:t xml:space="preserve">Az átváltható értékpapír pozíciója nem nettósítható olyan értékpapír ellentétes pozíciójával, amelyre az értékpapír átváltható. </w:t>
      </w:r>
    </w:p>
    <w:p w:rsidR="004D0F9B" w:rsidRPr="00D77120" w:rsidRDefault="004D0F9B" w:rsidP="00FE5F5C">
      <w:pPr>
        <w:spacing w:before="240"/>
        <w:ind w:left="425"/>
      </w:pPr>
      <w:r w:rsidRPr="00D77120">
        <w:t>A befektetési alap nettó pozícióját devizanemenként is meg kell állapítani. A nettó nyitott deviza pozíció a köv</w:t>
      </w:r>
      <w:r w:rsidR="00E175F8" w:rsidRPr="00D77120">
        <w:t>etkező elemek együttes összege:</w:t>
      </w:r>
    </w:p>
    <w:p w:rsidR="004D0F9B" w:rsidRPr="00D77120" w:rsidRDefault="004D0F9B" w:rsidP="00FE5F5C">
      <w:pPr>
        <w:pStyle w:val="Listaszerbekezds"/>
        <w:numPr>
          <w:ilvl w:val="0"/>
          <w:numId w:val="43"/>
        </w:numPr>
        <w:spacing w:before="240"/>
      </w:pPr>
      <w:r w:rsidRPr="00D77120">
        <w:t>a nem származtatott ügyletekből eredő pozíció,</w:t>
      </w:r>
    </w:p>
    <w:p w:rsidR="004D0F9B" w:rsidRPr="00D77120" w:rsidRDefault="004D0F9B" w:rsidP="00FE5F5C">
      <w:pPr>
        <w:pStyle w:val="Listaszerbekezds"/>
        <w:numPr>
          <w:ilvl w:val="0"/>
          <w:numId w:val="43"/>
        </w:numPr>
        <w:spacing w:before="240"/>
      </w:pPr>
      <w:r w:rsidRPr="00D77120">
        <w:t xml:space="preserve">a nettó határidős pozíció (a határidős devizaügyletek alapján fennálló követelések és fizetési kötelezettségek közötti különbség, ideértve a tőzsdei határidős devizaügyletek és a deviza swap ügyletek tőkeösszegét is), </w:t>
      </w:r>
    </w:p>
    <w:p w:rsidR="004D0F9B" w:rsidRPr="00D77120" w:rsidRDefault="004D0F9B" w:rsidP="00FE5F5C">
      <w:pPr>
        <w:pStyle w:val="Listaszerbekezds"/>
        <w:numPr>
          <w:ilvl w:val="0"/>
          <w:numId w:val="43"/>
        </w:numPr>
        <w:spacing w:before="240"/>
      </w:pPr>
      <w:r w:rsidRPr="00D77120">
        <w:t xml:space="preserve">a felmerült - teljesen lefedezett -, de még nem esedékes jövőbeni bevételek/kiadások, </w:t>
      </w:r>
    </w:p>
    <w:p w:rsidR="004D0F9B" w:rsidRPr="00D77120" w:rsidRDefault="004D0F9B" w:rsidP="00FE5F5C">
      <w:pPr>
        <w:pStyle w:val="Listaszerbekezds"/>
        <w:numPr>
          <w:ilvl w:val="0"/>
          <w:numId w:val="43"/>
        </w:numPr>
        <w:spacing w:before="240"/>
      </w:pPr>
      <w:r w:rsidRPr="00D77120">
        <w:t xml:space="preserve">az ugyanazon devizára kötött opciós ügyletek nettó delta kockázata (A nettó delta kockázat a pozitív és a negatív deltakockázatok abszolút értékének különbsége. Valamely opciós ügylet delta kockázata az alapul szolgáló deviza piaci értékének és az opció delta tényezőjének szorzata), </w:t>
      </w:r>
    </w:p>
    <w:p w:rsidR="004D0F9B" w:rsidRPr="00D77120" w:rsidRDefault="004D0F9B" w:rsidP="00FE5F5C">
      <w:pPr>
        <w:pStyle w:val="Listaszerbekezds"/>
        <w:numPr>
          <w:ilvl w:val="0"/>
          <w:numId w:val="43"/>
        </w:numPr>
        <w:spacing w:before="240"/>
      </w:pPr>
      <w:r w:rsidRPr="00D77120">
        <w:t xml:space="preserve">egyéb, devizában </w:t>
      </w:r>
      <w:r w:rsidR="00FE5F5C" w:rsidRPr="00D77120">
        <w:t>denominált opciók piaci értéke.</w:t>
      </w:r>
    </w:p>
    <w:p w:rsidR="004D0F9B" w:rsidRPr="00D77120" w:rsidRDefault="004D0F9B" w:rsidP="00FE5F5C">
      <w:pPr>
        <w:spacing w:before="240"/>
        <w:ind w:left="425"/>
      </w:pPr>
      <w:r w:rsidRPr="00D77120">
        <w:t xml:space="preserve">A hitelfelvétel óvadékául szolgáló vagy kölcsönadott értékpapírok nem nettósíthatók </w:t>
      </w:r>
      <w:r w:rsidR="00FE5F5C" w:rsidRPr="00D77120">
        <w:t>származtatott rövid pozícióval.</w:t>
      </w:r>
    </w:p>
    <w:p w:rsidR="004D0F9B" w:rsidRPr="00D77120" w:rsidRDefault="004D0F9B" w:rsidP="00FE5F5C">
      <w:pPr>
        <w:spacing w:before="240"/>
        <w:ind w:left="425"/>
      </w:pPr>
      <w:r w:rsidRPr="00D77120">
        <w:t>Az értékpapír-pozíciók nettósítása során az alábbiak szerint kell eljárni:</w:t>
      </w:r>
    </w:p>
    <w:p w:rsidR="004D0F9B" w:rsidRPr="00D77120" w:rsidRDefault="004D0F9B" w:rsidP="00FE5F5C">
      <w:pPr>
        <w:spacing w:before="240"/>
        <w:ind w:left="709"/>
        <w:rPr>
          <w:i/>
        </w:rPr>
      </w:pPr>
      <w:r w:rsidRPr="00D77120">
        <w:rPr>
          <w:i/>
        </w:rPr>
        <w:t xml:space="preserve">Azonnali ügyletek </w:t>
      </w:r>
    </w:p>
    <w:p w:rsidR="004D0F9B" w:rsidRPr="00D77120" w:rsidRDefault="004D0F9B" w:rsidP="00FE5F5C">
      <w:pPr>
        <w:spacing w:before="120"/>
        <w:ind w:left="709"/>
      </w:pPr>
      <w:r w:rsidRPr="00D77120">
        <w:t>A megkötött, de még nem teljesített eladási és vételi tranzakciók - kezelési szabályzat szerinti - piaci áron számított értékével az értékpapír pozíciót nettósítani kell.</w:t>
      </w:r>
    </w:p>
    <w:p w:rsidR="004D0F9B" w:rsidRPr="00D77120" w:rsidRDefault="004D0F9B" w:rsidP="00FE5F5C">
      <w:pPr>
        <w:spacing w:before="240"/>
        <w:ind w:left="709"/>
        <w:rPr>
          <w:i/>
        </w:rPr>
      </w:pPr>
      <w:r w:rsidRPr="00D77120">
        <w:rPr>
          <w:i/>
        </w:rPr>
        <w:t>Határidős ügyletek</w:t>
      </w:r>
    </w:p>
    <w:p w:rsidR="004D0F9B" w:rsidRPr="00D77120" w:rsidRDefault="004D0F9B" w:rsidP="00FE5F5C">
      <w:pPr>
        <w:spacing w:before="120"/>
        <w:ind w:left="709"/>
      </w:pPr>
      <w:r w:rsidRPr="00D77120">
        <w:t>Ennek során a határidős eladási tranzakció értékpapír mennyiségével (névérték, darabszám) csökkenteni, a határidős vételi pozíció mennyiségével növelni kell az azonnali pozíció mennyiségét és az így kialakult nettó pozíciót aktuális piaci áron értékelni. A piaci ár meghatározásánál itt és minden további esetben is az alap kezelési szabályzatában foglaltakat kell alkalmazni.</w:t>
      </w:r>
    </w:p>
    <w:p w:rsidR="004D0F9B" w:rsidRPr="00D77120" w:rsidRDefault="004D0F9B" w:rsidP="00FE5F5C">
      <w:pPr>
        <w:spacing w:before="240"/>
        <w:ind w:left="709"/>
        <w:rPr>
          <w:i/>
        </w:rPr>
      </w:pPr>
      <w:r w:rsidRPr="00D77120">
        <w:rPr>
          <w:i/>
        </w:rPr>
        <w:t>Opciós ügyletek</w:t>
      </w:r>
    </w:p>
    <w:p w:rsidR="004D0F9B" w:rsidRPr="00D77120" w:rsidRDefault="004D0F9B" w:rsidP="00FE5F5C">
      <w:pPr>
        <w:spacing w:before="120"/>
        <w:ind w:left="709"/>
      </w:pPr>
      <w:r w:rsidRPr="00D77120">
        <w:t>Az eladási, illetve vételi opció kötési volumenének piaci áron számított nagyságának és az opció delta tényezőjének szorzatát lehet a nettósításnál figyelembe venni.</w:t>
      </w:r>
    </w:p>
    <w:p w:rsidR="00612164" w:rsidRPr="00D77120" w:rsidRDefault="00612164" w:rsidP="00FC245C">
      <w:pPr>
        <w:pStyle w:val="Cmsor2"/>
        <w:keepLines w:val="0"/>
        <w:numPr>
          <w:ilvl w:val="1"/>
          <w:numId w:val="32"/>
        </w:numPr>
      </w:pPr>
      <w:bookmarkStart w:id="63" w:name="_Toc349832314"/>
      <w:r w:rsidRPr="00D77120">
        <w:t>Az indexekben, egyéb összetett eszközökben meglévő pozíciók kezelése:</w:t>
      </w:r>
      <w:bookmarkEnd w:id="63"/>
    </w:p>
    <w:p w:rsidR="004D0F9B" w:rsidRPr="00D77120" w:rsidRDefault="004D0F9B" w:rsidP="00FE5F5C">
      <w:pPr>
        <w:spacing w:before="240"/>
        <w:ind w:left="425"/>
        <w:rPr>
          <w:i/>
        </w:rPr>
      </w:pPr>
      <w:r w:rsidRPr="00D77120">
        <w:rPr>
          <w:i/>
        </w:rPr>
        <w:t>Index termékek</w:t>
      </w:r>
    </w:p>
    <w:p w:rsidR="004D0F9B" w:rsidRPr="00D77120" w:rsidRDefault="004D0F9B" w:rsidP="00FE5F5C">
      <w:pPr>
        <w:spacing w:before="120"/>
        <w:ind w:left="425"/>
      </w:pPr>
      <w:r w:rsidRPr="00D77120">
        <w:lastRenderedPageBreak/>
        <w:t>Az index termékek szétbontásra kerülnek a kontraktusszorzó és az index összetétele alapján egyedi részvényekre, amiket nettósítunk a portfólióban esetlegesen szereplő azonos részvényekkel, vagy az azonos részvényekre szóló származtatott termékekkel.</w:t>
      </w:r>
    </w:p>
    <w:p w:rsidR="004D0F9B" w:rsidRPr="00D77120" w:rsidRDefault="004D0F9B" w:rsidP="00FE5F5C">
      <w:pPr>
        <w:spacing w:before="240"/>
        <w:ind w:left="425"/>
        <w:rPr>
          <w:i/>
        </w:rPr>
      </w:pPr>
      <w:r w:rsidRPr="00D77120">
        <w:rPr>
          <w:i/>
        </w:rPr>
        <w:t>Összetett termékek</w:t>
      </w:r>
    </w:p>
    <w:p w:rsidR="004D0F9B" w:rsidRPr="00D77120" w:rsidRDefault="004D0F9B" w:rsidP="00FE5F5C">
      <w:pPr>
        <w:spacing w:before="120"/>
        <w:ind w:left="425"/>
      </w:pPr>
      <w:r w:rsidRPr="00D77120">
        <w:t>Az összetett származékos termékeket (pl. index opció) elemekre bontva, az egyes termékeknél leírtak szerint kell a nettósításnál figyelembe venni.</w:t>
      </w:r>
    </w:p>
    <w:p w:rsidR="00612164" w:rsidRPr="00D77120" w:rsidRDefault="00612164" w:rsidP="00FC245C">
      <w:pPr>
        <w:pStyle w:val="Cmsor2"/>
        <w:keepLines w:val="0"/>
        <w:numPr>
          <w:ilvl w:val="1"/>
          <w:numId w:val="32"/>
        </w:numPr>
      </w:pPr>
      <w:bookmarkStart w:id="64" w:name="_Toc349832315"/>
      <w:r w:rsidRPr="00D77120">
        <w:t>Az értékeléshez felhasználni kívánt árinformációk forrása</w:t>
      </w:r>
      <w:r w:rsidR="00E175F8" w:rsidRPr="00D77120">
        <w:t>:</w:t>
      </w:r>
      <w:bookmarkEnd w:id="64"/>
    </w:p>
    <w:p w:rsidR="00282AFC" w:rsidRDefault="00282AFC" w:rsidP="00282AFC">
      <w:pPr>
        <w:spacing w:before="240"/>
        <w:ind w:left="425"/>
      </w:pPr>
      <w:r>
        <w:t>Az Alap származtatott eszközeinek E-napi piaci értékének meghatározásához az árinformációk forrása:</w:t>
      </w:r>
    </w:p>
    <w:p w:rsidR="00282AFC" w:rsidRDefault="00282AFC" w:rsidP="00282AFC">
      <w:pPr>
        <w:spacing w:before="240"/>
        <w:ind w:left="425"/>
      </w:pPr>
      <w:r>
        <w:t>•</w:t>
      </w:r>
      <w:r>
        <w:tab/>
        <w:t>A jelenérték-számítás során használt kamatok forrása forint esetében a Magyar Nemzeti Bank E-napi BUBOR-kamatfixingjei, egyéb devizák esetében a Reuters oldalán található pénzpiaci kamatok közepe (bid/ask jegyzés egyszerű számtani átlaga).</w:t>
      </w:r>
    </w:p>
    <w:p w:rsidR="00282AFC" w:rsidRDefault="00282AFC" w:rsidP="00282AFC">
      <w:pPr>
        <w:spacing w:before="240"/>
        <w:ind w:left="425"/>
      </w:pPr>
      <w:r>
        <w:t>•</w:t>
      </w:r>
      <w:r>
        <w:tab/>
        <w:t>A külföldi befektetések révén keletkezett pozíciók devizában kifejezett értékét az E-napon közzétett, ennek hiányában a legutolsó nyilvánosságra hozott MNB-középárfolyam felhasználásával kell forintban kifejezni. Abban az esetben, ha egy adott devizánál a Reuters által E-napra közzétett deviza (fixing) árfolyama legalább 1%-kal eltér az MNB által E-napra közzétett deviza középértéktől, a valódiság elvének, valamint a legfrissebb piaci árfolyamok használatának érdekében az értékeléshez a Reuters által közzétett deviza (fixing) árfolyamát kell használni.</w:t>
      </w:r>
    </w:p>
    <w:p w:rsidR="007A6316" w:rsidRPr="00D77120" w:rsidRDefault="00282AFC" w:rsidP="00282AFC">
      <w:pPr>
        <w:spacing w:before="240"/>
        <w:ind w:left="425"/>
      </w:pPr>
      <w:r>
        <w:t>•</w:t>
      </w:r>
      <w:r>
        <w:tab/>
        <w:t>Tőzsdei származtatott ügyletek árának forrása a Reuters, valamint a Bloomberg.</w:t>
      </w:r>
    </w:p>
    <w:p w:rsidR="00511FD1" w:rsidRPr="00D77120" w:rsidRDefault="00511FD1" w:rsidP="00FC245C">
      <w:pPr>
        <w:pStyle w:val="Cmsor2"/>
        <w:keepLines w:val="0"/>
        <w:numPr>
          <w:ilvl w:val="1"/>
          <w:numId w:val="32"/>
        </w:numPr>
      </w:pPr>
      <w:bookmarkStart w:id="65" w:name="_Toc349832316"/>
      <w:r w:rsidRPr="00D77120">
        <w:t>Amennyiben azon származtatott ügylet jellemzői, amelybe a befektetési alap befektet, különböznek a jogszabály által a származtatott ügyletekre vonatkozóan meghatározott általános jellemzőktől, az erre vonatkozó figyelemfelhívás, meghatározva az adott származtatott ügylet jellemzőit és kockázatát:</w:t>
      </w:r>
      <w:bookmarkEnd w:id="65"/>
    </w:p>
    <w:p w:rsidR="00511FD1" w:rsidRPr="00D77120" w:rsidRDefault="00D24801" w:rsidP="00FE5F5C">
      <w:pPr>
        <w:spacing w:before="240"/>
        <w:ind w:left="425"/>
      </w:pPr>
      <w:r w:rsidRPr="00D24801">
        <w:t>Nincs információ.</w:t>
      </w:r>
    </w:p>
    <w:p w:rsidR="00511FD1" w:rsidRPr="00D77120" w:rsidRDefault="00282AFC" w:rsidP="00282AFC">
      <w:pPr>
        <w:pStyle w:val="Cmsor2"/>
        <w:keepLines w:val="0"/>
        <w:numPr>
          <w:ilvl w:val="1"/>
          <w:numId w:val="32"/>
        </w:numPr>
      </w:pPr>
      <w:bookmarkStart w:id="66" w:name="_Toc349832317"/>
      <w:r w:rsidRPr="00282AFC">
        <w:t xml:space="preserve">Az adott tárgykörre vonatkozó </w:t>
      </w:r>
      <w:r>
        <w:t>e</w:t>
      </w:r>
      <w:r w:rsidR="00511FD1" w:rsidRPr="00D77120">
        <w:t>gyéb információk:</w:t>
      </w:r>
      <w:bookmarkEnd w:id="66"/>
    </w:p>
    <w:p w:rsidR="00282AFC" w:rsidRPr="00282AFC" w:rsidRDefault="00282AFC" w:rsidP="00282AFC">
      <w:pPr>
        <w:spacing w:before="240"/>
        <w:ind w:left="425"/>
      </w:pPr>
      <w:r>
        <w:t>Nincs információ.</w:t>
      </w:r>
    </w:p>
    <w:p w:rsidR="00282AFC" w:rsidRPr="00D77120" w:rsidRDefault="00282AFC" w:rsidP="00282AFC">
      <w:pPr>
        <w:pStyle w:val="Cmsor2"/>
        <w:keepLines w:val="0"/>
        <w:numPr>
          <w:ilvl w:val="0"/>
          <w:numId w:val="32"/>
        </w:numPr>
        <w:rPr>
          <w:u w:val="single"/>
        </w:rPr>
      </w:pPr>
      <w:bookmarkStart w:id="67" w:name="_Toc349041896"/>
      <w:bookmarkStart w:id="68" w:name="_Toc349832318"/>
      <w:r w:rsidRPr="00D77120">
        <w:rPr>
          <w:u w:val="single"/>
        </w:rPr>
        <w:t>Ingatlanalapra vonatkozó speciális rendelkezések:</w:t>
      </w:r>
      <w:bookmarkEnd w:id="67"/>
      <w:bookmarkEnd w:id="68"/>
    </w:p>
    <w:p w:rsidR="00282AFC" w:rsidRDefault="00282AFC" w:rsidP="00282AFC">
      <w:pPr>
        <w:spacing w:before="120"/>
        <w:ind w:left="425"/>
      </w:pPr>
      <w:r w:rsidRPr="00591EDF">
        <w:t>Nem alkalmazandó.</w:t>
      </w:r>
    </w:p>
    <w:p w:rsidR="00282AFC" w:rsidRDefault="00282AFC" w:rsidP="00282AFC">
      <w:pPr>
        <w:pStyle w:val="Cmsor2"/>
        <w:keepLines w:val="0"/>
        <w:numPr>
          <w:ilvl w:val="1"/>
          <w:numId w:val="32"/>
        </w:numPr>
      </w:pPr>
      <w:bookmarkStart w:id="69" w:name="_Toc344450164"/>
      <w:bookmarkStart w:id="70" w:name="_Toc349041897"/>
      <w:bookmarkStart w:id="71" w:name="_Toc349832319"/>
      <w:r w:rsidRPr="00B6721E">
        <w:t>Annak megjelölése, hogy hozamteremtő vagy értéknövelési céllal kiválasztandó ingatlanokba fektet az ingatlanalap</w:t>
      </w:r>
      <w:bookmarkEnd w:id="69"/>
      <w:bookmarkEnd w:id="70"/>
      <w:bookmarkEnd w:id="71"/>
    </w:p>
    <w:p w:rsidR="00282AFC" w:rsidRPr="00591EDF" w:rsidRDefault="00282AFC" w:rsidP="00282AFC">
      <w:pPr>
        <w:spacing w:before="120"/>
        <w:ind w:left="425"/>
      </w:pPr>
      <w:r w:rsidRPr="00714491">
        <w:t>Nem alkalmazandó.</w:t>
      </w:r>
    </w:p>
    <w:p w:rsidR="00282AFC" w:rsidRDefault="00282AFC" w:rsidP="00282AFC">
      <w:pPr>
        <w:pStyle w:val="Cmsor2"/>
        <w:keepLines w:val="0"/>
        <w:numPr>
          <w:ilvl w:val="1"/>
          <w:numId w:val="32"/>
        </w:numPr>
      </w:pPr>
      <w:bookmarkStart w:id="72" w:name="_Toc344450165"/>
      <w:bookmarkStart w:id="73" w:name="_Toc349041898"/>
      <w:bookmarkStart w:id="74" w:name="_Toc349832320"/>
      <w:r w:rsidRPr="00B6721E">
        <w:t xml:space="preserve">Annak megjelölése, hogy milyen funkciójú </w:t>
      </w:r>
      <w:r>
        <w:t xml:space="preserve">(lakás, kereskedelmi, ipari stb.) </w:t>
      </w:r>
      <w:r w:rsidRPr="00B6721E">
        <w:t>ingatlanokba fektet az ingatlanalap</w:t>
      </w:r>
      <w:bookmarkEnd w:id="72"/>
      <w:bookmarkEnd w:id="73"/>
      <w:bookmarkEnd w:id="74"/>
    </w:p>
    <w:p w:rsidR="00282AFC" w:rsidRPr="00591EDF" w:rsidRDefault="00282AFC" w:rsidP="00282AFC">
      <w:pPr>
        <w:spacing w:before="120"/>
        <w:ind w:left="425"/>
      </w:pPr>
      <w:r w:rsidRPr="00714491">
        <w:t>Nem alkalmazandó.</w:t>
      </w:r>
    </w:p>
    <w:p w:rsidR="00282AFC" w:rsidRDefault="00282AFC" w:rsidP="00282AFC">
      <w:pPr>
        <w:pStyle w:val="Cmsor2"/>
        <w:keepLines w:val="0"/>
        <w:numPr>
          <w:ilvl w:val="1"/>
          <w:numId w:val="32"/>
        </w:numPr>
      </w:pPr>
      <w:bookmarkStart w:id="75" w:name="_Toc344450166"/>
      <w:bookmarkStart w:id="76" w:name="_Toc349041899"/>
      <w:bookmarkStart w:id="77" w:name="_Toc349832321"/>
      <w:r w:rsidRPr="00B6721E">
        <w:t>Annak megjelölése, hogy mely országokban fektet be az ingatlanalap</w:t>
      </w:r>
      <w:bookmarkEnd w:id="75"/>
      <w:bookmarkEnd w:id="76"/>
      <w:bookmarkEnd w:id="77"/>
    </w:p>
    <w:p w:rsidR="00511FD1" w:rsidRPr="00D77120" w:rsidRDefault="00282AFC" w:rsidP="00282AFC">
      <w:pPr>
        <w:spacing w:before="120"/>
        <w:ind w:left="425"/>
      </w:pPr>
      <w:r w:rsidRPr="00714491">
        <w:t>Nem alkalmazandó.</w:t>
      </w:r>
    </w:p>
    <w:p w:rsidR="007E0F55" w:rsidRPr="006A40E9" w:rsidRDefault="007E0F55">
      <w:pPr>
        <w:keepLines w:val="0"/>
        <w:spacing w:after="0"/>
        <w:jc w:val="left"/>
        <w:rPr>
          <w:b/>
          <w:caps/>
          <w:kern w:val="28"/>
          <w:sz w:val="20"/>
          <w:szCs w:val="20"/>
        </w:rPr>
      </w:pPr>
      <w:r w:rsidRPr="006A40E9">
        <w:rPr>
          <w:sz w:val="20"/>
          <w:szCs w:val="20"/>
        </w:rPr>
        <w:br w:type="page"/>
      </w:r>
    </w:p>
    <w:p w:rsidR="00511FD1" w:rsidRPr="00B562C6" w:rsidRDefault="00511FD1" w:rsidP="00511FD1">
      <w:pPr>
        <w:pStyle w:val="Cmsor1"/>
        <w:keepLines w:val="0"/>
        <w:numPr>
          <w:ilvl w:val="0"/>
          <w:numId w:val="31"/>
        </w:numPr>
        <w:rPr>
          <w:rFonts w:ascii="Verdana" w:hAnsi="Verdana"/>
        </w:rPr>
      </w:pPr>
      <w:bookmarkStart w:id="78" w:name="_Toc349832322"/>
      <w:r w:rsidRPr="00B562C6">
        <w:rPr>
          <w:rFonts w:ascii="Verdana" w:hAnsi="Verdana"/>
        </w:rPr>
        <w:lastRenderedPageBreak/>
        <w:t>A kockázatok</w:t>
      </w:r>
      <w:bookmarkEnd w:id="78"/>
    </w:p>
    <w:p w:rsidR="00511FD1" w:rsidRPr="00D77120" w:rsidRDefault="00511FD1" w:rsidP="00FC245C">
      <w:pPr>
        <w:pStyle w:val="Cmsor2"/>
        <w:keepLines w:val="0"/>
        <w:numPr>
          <w:ilvl w:val="0"/>
          <w:numId w:val="32"/>
        </w:numPr>
        <w:rPr>
          <w:u w:val="single"/>
        </w:rPr>
      </w:pPr>
      <w:bookmarkStart w:id="79" w:name="_Toc349832323"/>
      <w:r w:rsidRPr="00D77120">
        <w:rPr>
          <w:u w:val="single"/>
        </w:rPr>
        <w:t>A kockázati tényezők bemutatása:</w:t>
      </w:r>
      <w:bookmarkEnd w:id="79"/>
    </w:p>
    <w:p w:rsidR="00511FD1" w:rsidRPr="00D77120" w:rsidRDefault="00511FD1" w:rsidP="00FC245C">
      <w:pPr>
        <w:spacing w:before="120"/>
        <w:ind w:left="425"/>
      </w:pPr>
      <w:r w:rsidRPr="00D77120">
        <w:t xml:space="preserve">A Befektetési Jegyek vásárlása számos kockázatot hordoz magában, amelyek döntő többsége arra vezethető vissza, hogy az Alap portfóliójában szereplő eszközök értéke ingadozik. Az Alap portfóliójában szereplő befektetési eszközök többségének árváltozása Magyarország makrogazdasági helyzetétől, ezen belül is az infláció és a kamatok alakulásától függ, továbbá jelentősen befolyásolja a részvények árfolyamának alakulása, a vállalatok által elért profitok nagysága. </w:t>
      </w:r>
      <w:proofErr w:type="gramStart"/>
      <w:r w:rsidRPr="00D77120">
        <w:t>Rövid távon</w:t>
      </w:r>
      <w:proofErr w:type="gramEnd"/>
      <w:r w:rsidRPr="00D77120">
        <w:t xml:space="preserve"> azonban a vállalati eredmények és a részvények árfolyamának alakulása jelentősen eltérhet egymástól.</w:t>
      </w:r>
    </w:p>
    <w:p w:rsidR="00511FD1" w:rsidRPr="00D77120" w:rsidRDefault="00511FD1" w:rsidP="00FC245C">
      <w:pPr>
        <w:spacing w:before="120"/>
        <w:ind w:left="425"/>
      </w:pPr>
      <w:r w:rsidRPr="00D77120">
        <w:t>Az Alap Befektetési Jegyeibe történő befektetés részletesebben az alábbi kockázatokat hordozza magában:</w:t>
      </w:r>
    </w:p>
    <w:p w:rsidR="00511FD1" w:rsidRPr="00D77120" w:rsidRDefault="00511FD1" w:rsidP="00FC245C">
      <w:pPr>
        <w:spacing w:before="120"/>
        <w:ind w:left="425"/>
        <w:rPr>
          <w:i/>
        </w:rPr>
      </w:pPr>
      <w:r w:rsidRPr="00D77120">
        <w:rPr>
          <w:i/>
        </w:rPr>
        <w:t>Politikai kockázat</w:t>
      </w:r>
    </w:p>
    <w:p w:rsidR="00511FD1" w:rsidRPr="00D77120" w:rsidRDefault="00511FD1" w:rsidP="00FC245C">
      <w:pPr>
        <w:spacing w:before="120"/>
        <w:ind w:left="425"/>
      </w:pPr>
      <w:r w:rsidRPr="00D77120">
        <w:t>A magyar állampapírok hozamszintjét és a részvények értékelési szintjét alapvetően befolyásolja a magyar monetáris és gazdaságpolitikai irányító szervek (kormány, jegybank) által követett költségvetési és monetáris politika. Így a Befektetési Jegyek hozamát is erősen befolyásolja a hatóságok által választott árfolyamrendszer és kamatpolitika. Emellett Magyarország külföldi befektetők általi megítélésére és a magyar kötvényektől és részvényektől elvárt hozamra (kockázati prémiumra) is számottevő hatással van a mindenkori kormány (és jegybank) gazdaságpolitikája.</w:t>
      </w:r>
    </w:p>
    <w:p w:rsidR="00511FD1" w:rsidRPr="00D77120" w:rsidRDefault="00511FD1" w:rsidP="00FC245C">
      <w:pPr>
        <w:spacing w:before="120"/>
        <w:ind w:left="425"/>
        <w:rPr>
          <w:i/>
        </w:rPr>
      </w:pPr>
      <w:r w:rsidRPr="00D77120">
        <w:rPr>
          <w:i/>
        </w:rPr>
        <w:t>Belföldi makrogazdasági kockázat</w:t>
      </w:r>
    </w:p>
    <w:p w:rsidR="00511FD1" w:rsidRPr="00D77120" w:rsidRDefault="00511FD1" w:rsidP="00FC245C">
      <w:pPr>
        <w:spacing w:before="120"/>
        <w:ind w:left="425"/>
      </w:pPr>
      <w:r w:rsidRPr="00D77120">
        <w:t>A magyar állampapírpiac hozamszintjét, ezáltal a vállalatok finanszírozásának költségét, valamint a beruházási aktivitást döntően befolyásolják az ország makrogazdasági folyamatai, ezen belül is különösen az infláció alakulása. Az infláció emelkedésével együtt járó hozamszint-emelkedés kedvezőtlenül hat a fix kamatozású hitelviszonyt megtestesítő értékpapírok árfolyamára és a beruházások visszafogásán keresztül ront(hat)</w:t>
      </w:r>
      <w:proofErr w:type="gramStart"/>
      <w:r w:rsidRPr="00D77120">
        <w:t>ja</w:t>
      </w:r>
      <w:proofErr w:type="gramEnd"/>
      <w:r w:rsidRPr="00D77120">
        <w:t xml:space="preserve"> a vállalatok profitabilitását. Szintén befolyásolja áttételesen a fenti tényezőket az ország fizetési mérleg pozíciója, valamint az államháztartás egyenlege (külső és belső egyensúly). Mindezekből kifolyólag a Befektetési Jegyek kamatlábkockázatnak vannak kitéve.</w:t>
      </w:r>
    </w:p>
    <w:p w:rsidR="00511FD1" w:rsidRPr="00D77120" w:rsidRDefault="00511FD1" w:rsidP="00FC245C">
      <w:pPr>
        <w:spacing w:before="120"/>
        <w:ind w:left="425"/>
        <w:rPr>
          <w:i/>
        </w:rPr>
      </w:pPr>
      <w:r w:rsidRPr="00D77120">
        <w:rPr>
          <w:i/>
        </w:rPr>
        <w:t>A befektetések belföldi egyedi és részvénypiaci kockázata</w:t>
      </w:r>
    </w:p>
    <w:p w:rsidR="00511FD1" w:rsidRPr="00D77120" w:rsidRDefault="00511FD1" w:rsidP="00FC245C">
      <w:pPr>
        <w:spacing w:before="120"/>
        <w:ind w:left="425"/>
      </w:pPr>
      <w:r w:rsidRPr="00D77120">
        <w:t>A magyar részvények hozamait döntően befolyásolják a hazai makrogazdasági folyamatok. A részvénypiac hozamát alapvetően meghatározza, hogy a gazdaság a konjunktúraciklusnak éppen melyik szakaszában van. Ezért a Befektetetési jegyek árfolyam ingadozása is függ Magyarország makrogazdasági helyzetétől. Ezen túlmenően az egyes vállalatok gazdálkodási tevékenysége is hordoz magában kockázatokat (pl. veszteséges gazdálkodás, csőd, felszámolás stb.), ami a részvények áralakulásában tükröződik. Az egyes vállalatokhoz kapcsolódó egyedi kockázat – bár (tekintettel egy-egy részvény viszonylagos alacsony súlyára a részvényportfólión belül) csak kisebb mértékben, de – kedvezőtlenül is érintheti a Befektetési Jegyek árfolyamát.</w:t>
      </w:r>
    </w:p>
    <w:p w:rsidR="00511FD1" w:rsidRPr="00D77120" w:rsidRDefault="00511FD1" w:rsidP="00FC245C">
      <w:pPr>
        <w:spacing w:before="120"/>
        <w:ind w:left="425"/>
        <w:rPr>
          <w:i/>
        </w:rPr>
      </w:pPr>
      <w:r w:rsidRPr="00D77120">
        <w:rPr>
          <w:i/>
        </w:rPr>
        <w:t>Nemzetközi tőkepiaci kockázat</w:t>
      </w:r>
    </w:p>
    <w:p w:rsidR="00511FD1" w:rsidRPr="00D77120" w:rsidRDefault="00511FD1" w:rsidP="00FC245C">
      <w:pPr>
        <w:spacing w:before="120"/>
        <w:ind w:left="425"/>
      </w:pPr>
      <w:r w:rsidRPr="00D77120">
        <w:t>Magyarország nyitott, világviszonylatban kis gazdaság. Emiatt a belső makrogazdasági folyamatok mellett a külföldi tőkepiaci trendek is befolyásolják a magyar kötvény- és részvénypiac hozamait. A külföldi befektetők magyar kötvények, illetve részvények iránti kereslete a befektetők által elvárt hozamfelár mellett függ a külföldi tőkepiacok kamatszintjétől is. Ezáltal a külföldi kamatok is befolyásolják a Befektetési Jegyek árfolyamát. Hasonlóképpen a nemzetközi részvénypiaci hangulat alapvetően meghatározza a hazai részvények árfolyam-alakulását is.</w:t>
      </w:r>
    </w:p>
    <w:p w:rsidR="00511FD1" w:rsidRPr="00D77120" w:rsidRDefault="00511FD1" w:rsidP="00FC245C">
      <w:pPr>
        <w:spacing w:before="120"/>
        <w:ind w:left="425"/>
        <w:rPr>
          <w:i/>
        </w:rPr>
      </w:pPr>
      <w:r w:rsidRPr="00D77120">
        <w:rPr>
          <w:i/>
        </w:rPr>
        <w:t>Devizakockázat</w:t>
      </w:r>
    </w:p>
    <w:p w:rsidR="00511FD1" w:rsidRPr="00D77120" w:rsidRDefault="00511FD1" w:rsidP="00FC245C">
      <w:pPr>
        <w:spacing w:before="120"/>
        <w:ind w:left="425"/>
      </w:pPr>
      <w:r w:rsidRPr="00D77120">
        <w:t>Az Alap eszközeit különböző országok és ott működő vállalatok egymástól eltérő devizanemekben kibocsátott értékpapírjaiba is fektetheti. Ennek következtében az Alap eszközeinek az egy</w:t>
      </w:r>
      <w:r w:rsidR="00780836">
        <w:t>es devizákban kifejezett értéke</w:t>
      </w:r>
      <w:r w:rsidRPr="00D77120">
        <w:t xml:space="preserve"> </w:t>
      </w:r>
      <w:r w:rsidR="00780836">
        <w:t>euróra</w:t>
      </w:r>
      <w:r w:rsidRPr="00D77120">
        <w:t xml:space="preserve"> az adott deviza és a</w:t>
      </w:r>
      <w:r w:rsidR="00780836">
        <w:t>z</w:t>
      </w:r>
      <w:r w:rsidRPr="00D77120">
        <w:t xml:space="preserve"> </w:t>
      </w:r>
      <w:r w:rsidR="00780836">
        <w:t>euró közötti árfolyam-</w:t>
      </w:r>
      <w:r w:rsidRPr="00D77120">
        <w:t xml:space="preserve">ingadozásától függően változhat. Ezáltal a Befektetési Jegyeket megvásárló Befektetőknek bizonyos esetekben az Alap portfólióját alkotó egyedi papírok és azok devizanemei </w:t>
      </w:r>
      <w:r w:rsidR="00780836">
        <w:t>euróval</w:t>
      </w:r>
      <w:r w:rsidRPr="00D77120">
        <w:t xml:space="preserve"> szemben meghatározott árfolyama ingadozásának kockázatával kell szembenézniük.</w:t>
      </w:r>
    </w:p>
    <w:p w:rsidR="00511FD1" w:rsidRPr="00D77120" w:rsidRDefault="00511FD1" w:rsidP="00FC245C">
      <w:pPr>
        <w:spacing w:before="120"/>
        <w:ind w:left="425"/>
        <w:rPr>
          <w:i/>
        </w:rPr>
      </w:pPr>
      <w:r w:rsidRPr="00D77120">
        <w:rPr>
          <w:i/>
        </w:rPr>
        <w:t>Származtatott termékekből eredő kockázat</w:t>
      </w:r>
    </w:p>
    <w:p w:rsidR="00511FD1" w:rsidRPr="00D77120" w:rsidRDefault="00511FD1" w:rsidP="00FC245C">
      <w:pPr>
        <w:spacing w:before="120"/>
        <w:ind w:left="425"/>
      </w:pPr>
      <w:r w:rsidRPr="00D77120">
        <w:t xml:space="preserve">Az Alap befektetései között – korlátozott mértékben és szigorú szabályok betartásával – származtatott eszközök is szerepelhetnek. A származtatott termékek speciális kockázatokat rejtenek magukban. Ezen termékek likviditása rövid időn belül erősen visszaeshet, valamint jelentős tőkeáttétellel működnek. Ezért előfordulhat, hogy az Alap a nyereséget nem tudja realizálni, illetve likviditási veszteséget kénytelen elkönyvelni. A származtatott ügyleteknél további kockázatot rejt magában az elszámolóár változása. </w:t>
      </w:r>
      <w:proofErr w:type="gramStart"/>
      <w:r w:rsidRPr="00D77120">
        <w:t>Rövid távon</w:t>
      </w:r>
      <w:proofErr w:type="gramEnd"/>
      <w:r w:rsidRPr="00D77120">
        <w:t xml:space="preserve"> előfordulhat, hogy egy termék tőzsdei elszámolóára eltér a piaci viszonyok (az alaptermék ára és az állampapírok hozama) által indokolt szinttől. Tőzsdén kívüli származtatott ügyletek esetében az ügyletnek nem része az elszámolóházi garancia, ezért ekkor az Alapnak az ügyfél nemteljesítéséből eredő kockázatot is fel kell vállalnia.</w:t>
      </w:r>
    </w:p>
    <w:p w:rsidR="00511FD1" w:rsidRPr="00D77120" w:rsidRDefault="00511FD1" w:rsidP="00FC245C">
      <w:pPr>
        <w:spacing w:before="120"/>
        <w:ind w:left="425"/>
        <w:rPr>
          <w:i/>
        </w:rPr>
      </w:pPr>
      <w:r w:rsidRPr="00D77120">
        <w:rPr>
          <w:i/>
        </w:rPr>
        <w:t>Befektetési kockázat</w:t>
      </w:r>
    </w:p>
    <w:p w:rsidR="00511FD1" w:rsidRPr="00D77120" w:rsidRDefault="00511FD1" w:rsidP="00FC245C">
      <w:pPr>
        <w:spacing w:before="120"/>
        <w:ind w:left="425"/>
      </w:pPr>
      <w:r w:rsidRPr="00D77120">
        <w:lastRenderedPageBreak/>
        <w:t>Az Alapkezelő az Alap portfólióját a törvényi szabályozás betartásával és az Alap befektetési politikáját követve saját belátása szerint állítja össze. Annak ellenére, hogy az Alapkezelő minden befektetést részletes elemzést követően hajt végre, nincs garancia arra, hogy az Alap nem szenved el árfolyamveszteséget. A Befektetési Jegy tulajdonosoknak tudomásul kell venniük, hogy valamennyi befektetés kockázattal jár és az Alapkezelőnek nem áll módjában garantálni az Alap teljesítményét, vagy jövőbeni hozamát.</w:t>
      </w:r>
    </w:p>
    <w:p w:rsidR="00511FD1" w:rsidRPr="00D77120" w:rsidRDefault="00511FD1" w:rsidP="00FC245C">
      <w:pPr>
        <w:spacing w:before="120"/>
        <w:ind w:left="425"/>
        <w:rPr>
          <w:i/>
        </w:rPr>
      </w:pPr>
      <w:r w:rsidRPr="00D77120">
        <w:rPr>
          <w:i/>
        </w:rPr>
        <w:t>Reálhozam kockázata</w:t>
      </w:r>
    </w:p>
    <w:p w:rsidR="00511FD1" w:rsidRPr="00D77120" w:rsidRDefault="00511FD1" w:rsidP="00FC245C">
      <w:pPr>
        <w:spacing w:before="120"/>
        <w:ind w:left="425"/>
      </w:pPr>
      <w:r w:rsidRPr="00D77120">
        <w:t xml:space="preserve">A fogyasztói árindex emelkedése mindig rejt magában némi bizonytalanságot, így előfordulhat, hogy az infláció – bizonyos múltbeli időszakot tekintve – meghaladja az állampapírpiac hozamát. Tekintettel arra, hogy a Befektetési Jegyek nominális hozama alapvetően az állampapír- és részvénypiaci hozamoktól függ, az Alap nominális teljesítménye </w:t>
      </w:r>
      <w:proofErr w:type="gramStart"/>
      <w:r w:rsidRPr="00D77120">
        <w:t>ezáltal</w:t>
      </w:r>
      <w:proofErr w:type="gramEnd"/>
      <w:r w:rsidRPr="00D77120">
        <w:t xml:space="preserve"> egyes időszakokban az infláció alatt maradhat. Ez pedig a negatív reálhozam kockázatát hordozza magában.</w:t>
      </w:r>
    </w:p>
    <w:p w:rsidR="00511FD1" w:rsidRPr="00D77120" w:rsidRDefault="00511FD1" w:rsidP="00FC245C">
      <w:pPr>
        <w:spacing w:before="120"/>
        <w:ind w:left="425"/>
        <w:rPr>
          <w:i/>
        </w:rPr>
      </w:pPr>
      <w:r w:rsidRPr="00D77120">
        <w:rPr>
          <w:i/>
        </w:rPr>
        <w:t>Az Alap eszközeinek likviditási kockázata</w:t>
      </w:r>
    </w:p>
    <w:p w:rsidR="00511FD1" w:rsidRDefault="00511FD1" w:rsidP="00FC245C">
      <w:pPr>
        <w:spacing w:before="120"/>
        <w:ind w:left="425"/>
      </w:pPr>
      <w:r w:rsidRPr="00D77120">
        <w:t>Az Alapkezelő a befektetési döntések meghozatala előtt mérlegeli az eszközök likviditását. A portfólióban lévő eszközök likviditása változhat. Ez esetben elképzelhető, hogy ha jelentősen romlik egy eszköz likviditása, akkor azt a nyilvántartási értéke alatt tudja csak az Alapkezelő értékesíteni, ami kedvezőtlenül befolyásolja az Alap nettó eszközértékét, így a Befektetési Jegyek árfolyamát. Kölcsönadott értékpapír esetén likvidációs kockázatot jelent, hogy az ügylet futamideje alatt a kölcsönadott értékpapír nem, vagy csak az ügylet lezárása után értékesíthető.</w:t>
      </w:r>
    </w:p>
    <w:p w:rsidR="00780836" w:rsidRPr="00780836" w:rsidRDefault="00780836" w:rsidP="00780836">
      <w:pPr>
        <w:spacing w:before="120"/>
        <w:ind w:left="425"/>
        <w:rPr>
          <w:i/>
        </w:rPr>
      </w:pPr>
      <w:r w:rsidRPr="00780836">
        <w:rPr>
          <w:i/>
        </w:rPr>
        <w:t>A Befektetési Jegyek forgalmazása felfüggesztésének kockázata</w:t>
      </w:r>
    </w:p>
    <w:p w:rsidR="00780836" w:rsidRDefault="00780836" w:rsidP="00780836">
      <w:pPr>
        <w:spacing w:before="120"/>
        <w:ind w:left="425"/>
      </w:pPr>
      <w:r w:rsidRPr="00877F2F">
        <w:t>A Batv. 92-95. §-</w:t>
      </w:r>
      <w:proofErr w:type="gramStart"/>
      <w:r w:rsidRPr="00877F2F">
        <w:t>a</w:t>
      </w:r>
      <w:proofErr w:type="gramEnd"/>
      <w:r w:rsidRPr="00877F2F">
        <w:t xml:space="preserve"> alapján a Befektetési Jegy folyamatos forgalmazását az Alapkezelő szüneteltetheti, illetve felfüggesztheti az alábbi esetekben:</w:t>
      </w:r>
    </w:p>
    <w:p w:rsidR="00780836" w:rsidRPr="00600B45" w:rsidRDefault="00780836" w:rsidP="00780836">
      <w:pPr>
        <w:spacing w:before="120"/>
        <w:ind w:left="425"/>
      </w:pPr>
      <w:r w:rsidRPr="00600B45">
        <w:t xml:space="preserve">92. § (1) A befektetési jegyek folyamatos forgalmazása </w:t>
      </w:r>
      <w:r w:rsidRPr="00410D23">
        <w:t>legfeljebb 3 munkanapra szüneteltethető, amennyiben a befektetési jegyek értékesítése, illetve visszaváltása a befektetési alapkezelő, a letétkezelő, illetve a forgalmazó működési körében felmerülő okokból nem végezhető.</w:t>
      </w:r>
      <w:r w:rsidRPr="00600B45">
        <w:t xml:space="preserve"> A szünetelésről rendkívüli közzététel útján kell tájékoztatni a befektetőket és haladéktalanul a Felügyeletet.</w:t>
      </w:r>
    </w:p>
    <w:p w:rsidR="00780836" w:rsidRPr="00600B45" w:rsidRDefault="00780836" w:rsidP="00780836">
      <w:pPr>
        <w:spacing w:before="120"/>
        <w:ind w:left="709"/>
      </w:pPr>
      <w:r w:rsidRPr="00600B45">
        <w:t>(2) Ha a befektetési alapkezelő a forgalomban lévő befektetési jegy mennyiségére felső korlátot állapított meg (forgalmazási maximum), annak elérésekor a befektetési jegyek forgalomba hozatalára addig nem kerül sor, amíg a befektetési jegyek mennyisége a forgalmazási maximum alá nem csökken.</w:t>
      </w:r>
    </w:p>
    <w:p w:rsidR="00780836" w:rsidRPr="00600B45" w:rsidRDefault="00780836" w:rsidP="00780836">
      <w:pPr>
        <w:spacing w:before="120"/>
        <w:ind w:left="425"/>
      </w:pPr>
      <w:r w:rsidRPr="00600B45">
        <w:t>93. § (1) A befektetési alapkezelő a folyamatos forgalmazást - a vételt és a visszaváltást egyaránt - kizárólag a befektetők érdekében, akkor függesztheti fel, ha</w:t>
      </w:r>
    </w:p>
    <w:p w:rsidR="00780836" w:rsidRPr="00600B45" w:rsidRDefault="00780836" w:rsidP="00780836">
      <w:pPr>
        <w:spacing w:before="120"/>
        <w:ind w:left="709"/>
      </w:pPr>
      <w:proofErr w:type="gramStart"/>
      <w:r w:rsidRPr="00600B45">
        <w:t>a</w:t>
      </w:r>
      <w:proofErr w:type="gramEnd"/>
      <w:r w:rsidRPr="00600B45">
        <w:t xml:space="preserve">) </w:t>
      </w:r>
      <w:proofErr w:type="spellStart"/>
      <w:r w:rsidRPr="00600B45">
        <w:t>a</w:t>
      </w:r>
      <w:proofErr w:type="spellEnd"/>
      <w:r w:rsidRPr="00600B45">
        <w:t xml:space="preserve"> befektetési alap adott sorozata szerinti nettó eszközértéke nem állapítható meg, így különösen, ha a befektetési alap saját tőkéje több mint 10 százalékára vonatkozóan az adott eszközök forgalmát felfüggesztik, vagy egyéb ok miatt nem áll rendelkezésre értékelésre alkalmas piaci árfolyam-információ;</w:t>
      </w:r>
    </w:p>
    <w:p w:rsidR="00780836" w:rsidRPr="00600B45" w:rsidRDefault="00780836" w:rsidP="00780836">
      <w:pPr>
        <w:spacing w:before="120"/>
        <w:ind w:left="709"/>
      </w:pPr>
      <w:r w:rsidRPr="00600B45">
        <w:t>b) a befektetési alapkezelő, a letétkezelő vagy a forgalmazó - a 92. § (1) bekezdésben meghatározott eset kivételével - nem képes a tevékenységét ellátni;</w:t>
      </w:r>
    </w:p>
    <w:p w:rsidR="00780836" w:rsidRPr="00600B45" w:rsidRDefault="00780836" w:rsidP="00780836">
      <w:pPr>
        <w:spacing w:before="120"/>
        <w:ind w:left="709"/>
      </w:pPr>
      <w:r w:rsidRPr="00600B45">
        <w:t>c) a befektetési alap nettó eszközértéke negatívvá vált.</w:t>
      </w:r>
    </w:p>
    <w:p w:rsidR="00780836" w:rsidRPr="00600B45" w:rsidRDefault="00780836" w:rsidP="00780836">
      <w:pPr>
        <w:spacing w:before="120"/>
        <w:ind w:left="709"/>
      </w:pPr>
      <w:r w:rsidRPr="00600B45">
        <w:t>(2) A befektetési alapkezelő a befektetési jegyek visszaváltását a befektetők érdekében kizárólag akkor függesztheti fel, ha a leadott visszaváltási megbízások alapján a befektetési jegyeknek olyan mennyiségét kívánják visszaváltani, amely miatt a befektetési alap likviditása - figyelembe véve a befektetési alap eszközeinek értékesítésére rendelkezésre álló időt - veszélybe kerül.</w:t>
      </w:r>
    </w:p>
    <w:p w:rsidR="00780836" w:rsidRPr="00600B45" w:rsidRDefault="00780836" w:rsidP="00780836">
      <w:pPr>
        <w:spacing w:before="120"/>
        <w:ind w:left="709"/>
      </w:pPr>
      <w:r w:rsidRPr="00600B45">
        <w:t>(3) A befektetési alapkezelő az (1) és (2) bekezdésekben meghatározott felfüggesztésről rendkívüli közzététel útján haladéktalanul tájékoztatja a befektetőket, a Felügyeletet, továbbá valamennyi olyan EGT-állam hatáskörrel rendelkező felügyeleti hatóságát, ahol a befektetési jegyet forgalmazzák.</w:t>
      </w:r>
    </w:p>
    <w:p w:rsidR="00780836" w:rsidRPr="00600B45" w:rsidRDefault="00780836" w:rsidP="00780836">
      <w:pPr>
        <w:spacing w:before="120"/>
        <w:ind w:left="425"/>
      </w:pPr>
      <w:r w:rsidRPr="00600B45">
        <w:t>94. § (1) A Felügyelet a befektetők érdekében felfüggesztheti a befektetési jegyek folyamatos forgalmazását, amennyiben:</w:t>
      </w:r>
    </w:p>
    <w:p w:rsidR="00780836" w:rsidRPr="00600B45" w:rsidRDefault="00780836" w:rsidP="00780836">
      <w:pPr>
        <w:spacing w:before="120"/>
        <w:ind w:left="709"/>
      </w:pPr>
      <w:proofErr w:type="gramStart"/>
      <w:r w:rsidRPr="00600B45">
        <w:t>a</w:t>
      </w:r>
      <w:proofErr w:type="gramEnd"/>
      <w:r w:rsidRPr="00600B45">
        <w:t xml:space="preserve">) </w:t>
      </w:r>
      <w:proofErr w:type="spellStart"/>
      <w:r w:rsidRPr="00600B45">
        <w:t>a</w:t>
      </w:r>
      <w:proofErr w:type="spellEnd"/>
      <w:r w:rsidRPr="00600B45">
        <w:t xml:space="preserve"> befektetési alapkezelő nem tesz eleget tájékoztatási kötelezettségének, vagy</w:t>
      </w:r>
    </w:p>
    <w:p w:rsidR="00780836" w:rsidRPr="00600B45" w:rsidRDefault="00780836" w:rsidP="00780836">
      <w:pPr>
        <w:spacing w:before="120"/>
        <w:ind w:left="709"/>
      </w:pPr>
      <w:r w:rsidRPr="00600B45">
        <w:t>b) a befektetési alap működésének törvényben előírt feltételei nem biztosítottak.</w:t>
      </w:r>
    </w:p>
    <w:p w:rsidR="00780836" w:rsidRPr="00600B45" w:rsidRDefault="00780836" w:rsidP="00780836">
      <w:pPr>
        <w:spacing w:before="120"/>
        <w:ind w:left="709"/>
      </w:pPr>
      <w:r w:rsidRPr="00600B45">
        <w:t>(2) A Felügyelet a befektetési alapkezelő intézkedésének hiányában felfüggesztheti a befektetési jegyek folyamatos forgalmazását a 93. § (1) bekezdésében meghatározott esetekben, valamint a befektetési jegyek visszaváltását a 93. § (2) bekezdésében meghatározott esetben.</w:t>
      </w:r>
    </w:p>
    <w:p w:rsidR="00780836" w:rsidRPr="00600B45" w:rsidRDefault="00780836" w:rsidP="00780836">
      <w:pPr>
        <w:spacing w:before="120"/>
        <w:ind w:left="425"/>
      </w:pPr>
      <w:r w:rsidRPr="00600B45">
        <w:t>95. § (1) A felfüggesztés időtartama legfeljebb 30 nap, azzal, hogy az eszközeit legalább 20 százalékban más befektetési alapba fektető befektetési alap esetében a felfüggesztés időtartama a mögöttes befektetési alap felfüggesztési szabályaihoz igazodik. A Felügyelet indokolt esetben a befektetési alapkezelő kérelmére a felfüggesztést további 1 évvel meghosszabbíthatja.</w:t>
      </w:r>
    </w:p>
    <w:p w:rsidR="00780836" w:rsidRPr="00600B45" w:rsidRDefault="00780836" w:rsidP="00780836">
      <w:pPr>
        <w:spacing w:before="120"/>
        <w:ind w:left="709"/>
      </w:pPr>
      <w:r w:rsidRPr="00600B45">
        <w:t>(2) A befektetési jegyek forgalmazását a forgalmazást kiváltó ok megszűnését követően, vagy amennyiben azt a Felügyelet határozatban elrendeli, haladéktalanul folytatni kell.</w:t>
      </w:r>
    </w:p>
    <w:p w:rsidR="00780836" w:rsidRPr="00600B45" w:rsidRDefault="00780836" w:rsidP="00780836">
      <w:pPr>
        <w:spacing w:before="120"/>
        <w:ind w:left="709"/>
      </w:pPr>
      <w:r w:rsidRPr="00600B45">
        <w:lastRenderedPageBreak/>
        <w:t>(3) A befektetési alap nettó eszközértékét a felfüggesztés ideje alatt is meg kell állapítani és közzé kell tenni.</w:t>
      </w:r>
    </w:p>
    <w:p w:rsidR="00511FD1" w:rsidRPr="00D77120" w:rsidRDefault="00511FD1" w:rsidP="00FC245C">
      <w:pPr>
        <w:spacing w:before="120"/>
        <w:ind w:left="425"/>
        <w:rPr>
          <w:i/>
        </w:rPr>
      </w:pPr>
      <w:r w:rsidRPr="00D77120">
        <w:rPr>
          <w:i/>
        </w:rPr>
        <w:t>Nettó eszközérték számításából eredő kockázat</w:t>
      </w:r>
    </w:p>
    <w:p w:rsidR="00511FD1" w:rsidRDefault="00511FD1" w:rsidP="00FC245C">
      <w:pPr>
        <w:spacing w:before="120"/>
        <w:ind w:left="425"/>
      </w:pPr>
      <w:r w:rsidRPr="00D77120">
        <w:t>Az Alapkezelő célja az volt az eszközök értékelési szabályainak kialakításakor, hogy a nettó eszközérték a lehető legpontosabban tükrözze a portfólió pillanatnyi értékét. Egyes kevésbé likvid értékpapíroknál azonban előfordulhat, hogy azok utolsó piaci ára, amely az értékelés alapját képezi, nem friss, ezért nem tükrözi helyesen az adott eszköz piaci értékét. Ekkor – miután a nettó eszközérték enyhe felül- vagy alulértékeltséget mutathat – a nettó eszközértéken való forgalmazás miatt a befektetők által realizált hozam minimálisan eltérhet az adott Alap portfólióját alkotó piaci eszközök tényleges értékének változásától.</w:t>
      </w:r>
    </w:p>
    <w:p w:rsidR="00780836" w:rsidRPr="00780836" w:rsidRDefault="00780836" w:rsidP="00780836">
      <w:pPr>
        <w:spacing w:before="120"/>
        <w:ind w:left="425"/>
        <w:rPr>
          <w:i/>
        </w:rPr>
      </w:pPr>
      <w:r w:rsidRPr="00780836">
        <w:rPr>
          <w:i/>
        </w:rPr>
        <w:t>Az Alap esetleges határozott futamidejűvé alakításának kockázata</w:t>
      </w:r>
    </w:p>
    <w:p w:rsidR="00780836" w:rsidRPr="007E17FB" w:rsidRDefault="00780836" w:rsidP="00780836">
      <w:pPr>
        <w:spacing w:before="120"/>
        <w:ind w:left="425"/>
      </w:pPr>
      <w:r w:rsidRPr="007E17FB">
        <w:t>Az Alapok határozatlan időre jönnek létre. Az Alapkezelő a</w:t>
      </w:r>
      <w:r>
        <w:t xml:space="preserve"> PSZÁF engedélyével az Alapo</w:t>
      </w:r>
      <w:r w:rsidRPr="007E17FB">
        <w:t>t határozott futamidejűvé alakíthatja. Mivel az Alap a határozott futamidő végén végelszámolással megszűnik, ezért a befektetők esetleg az általuk szándékolt idő lejárta előtt kénytelenek Befektetési Jegyeiket visszaváltani.</w:t>
      </w:r>
    </w:p>
    <w:p w:rsidR="00511FD1" w:rsidRPr="00D77120" w:rsidRDefault="00511FD1" w:rsidP="00FC245C">
      <w:pPr>
        <w:spacing w:before="120"/>
        <w:ind w:left="425"/>
        <w:rPr>
          <w:i/>
        </w:rPr>
      </w:pPr>
      <w:r w:rsidRPr="00D77120">
        <w:rPr>
          <w:i/>
        </w:rPr>
        <w:t>Az Alap megszűnésének kockázata</w:t>
      </w:r>
    </w:p>
    <w:p w:rsidR="00511FD1" w:rsidRPr="00D77120" w:rsidRDefault="00511FD1" w:rsidP="00FC245C">
      <w:pPr>
        <w:spacing w:before="120"/>
        <w:ind w:left="425"/>
      </w:pPr>
      <w:r w:rsidRPr="00D77120">
        <w:t xml:space="preserve">Az Alap megszűnik abban az esetben, ha </w:t>
      </w:r>
      <w:r w:rsidR="007E52A7" w:rsidRPr="00D77120">
        <w:t>a befektetési alap nettó eszközértéke negatívvá vált</w:t>
      </w:r>
      <w:r w:rsidRPr="00D77120">
        <w:t>.</w:t>
      </w:r>
    </w:p>
    <w:p w:rsidR="00511FD1" w:rsidRPr="00D77120" w:rsidRDefault="00511FD1" w:rsidP="00FC245C">
      <w:pPr>
        <w:spacing w:before="120"/>
        <w:ind w:left="425"/>
        <w:rPr>
          <w:i/>
        </w:rPr>
      </w:pPr>
      <w:r w:rsidRPr="00D77120">
        <w:rPr>
          <w:i/>
        </w:rPr>
        <w:t>A letétkezelő kockázata</w:t>
      </w:r>
    </w:p>
    <w:p w:rsidR="00511FD1" w:rsidRPr="00D77120" w:rsidRDefault="00511FD1" w:rsidP="00FC245C">
      <w:pPr>
        <w:spacing w:before="120"/>
        <w:ind w:left="425"/>
      </w:pPr>
      <w:r w:rsidRPr="00D77120">
        <w:t>Az Alap portfóliójában szereplő befektetési eszközöket a Letétkezelő elkülönített számlán tartja nyilván. A Letétkezelő a meghatározott törvényi szabályoknak és tőkekövetelményeknek megfelel.</w:t>
      </w:r>
    </w:p>
    <w:p w:rsidR="00511FD1" w:rsidRPr="00D77120" w:rsidRDefault="00511FD1" w:rsidP="00FC245C">
      <w:pPr>
        <w:spacing w:before="120"/>
        <w:ind w:left="425"/>
        <w:rPr>
          <w:i/>
        </w:rPr>
      </w:pPr>
      <w:r w:rsidRPr="00D77120">
        <w:rPr>
          <w:i/>
        </w:rPr>
        <w:t>Adószabályok változásának kockázata</w:t>
      </w:r>
    </w:p>
    <w:p w:rsidR="00511FD1" w:rsidRPr="00D77120" w:rsidRDefault="00511FD1" w:rsidP="00FC245C">
      <w:pPr>
        <w:spacing w:before="120"/>
        <w:ind w:left="425"/>
      </w:pPr>
      <w:r w:rsidRPr="00D77120">
        <w:t>A Befektetési Jegyekre vonatkozó szabályok a Kezelési Szabályzat írásának időpontjában alapvetően kedvezőek a magánszemélyekre nézve. Ezek és a befektetési alapok adózására vonatkozó kedvező előírások a jövőben esetleg kedvezőtlen irányban is változhatnak.</w:t>
      </w:r>
    </w:p>
    <w:p w:rsidR="00511FD1" w:rsidRPr="00D77120" w:rsidRDefault="00511FD1" w:rsidP="00FC245C">
      <w:pPr>
        <w:spacing w:before="120"/>
        <w:ind w:left="425"/>
        <w:rPr>
          <w:i/>
        </w:rPr>
      </w:pPr>
      <w:r w:rsidRPr="00D77120">
        <w:rPr>
          <w:i/>
        </w:rPr>
        <w:t>Partnerkockázat</w:t>
      </w:r>
    </w:p>
    <w:p w:rsidR="00511FD1" w:rsidRPr="00D77120" w:rsidRDefault="00511FD1" w:rsidP="00FC245C">
      <w:pPr>
        <w:spacing w:before="120"/>
        <w:ind w:left="425"/>
      </w:pPr>
      <w:r w:rsidRPr="00D77120">
        <w:t>Amennyiben az Alapkezelő által az Alap nevében kötött ügyletekben közreműködő partnerek kötelezettségeiknek nem tesznek eleget maradéktalanul, ez hátrányosan befolyásolhatja az Alap Nettó Eszközértékét és a Befektetési Jegyek árfolyamát.</w:t>
      </w:r>
    </w:p>
    <w:p w:rsidR="00511FD1" w:rsidRPr="00D77120" w:rsidRDefault="00511FD1" w:rsidP="00FC245C">
      <w:pPr>
        <w:spacing w:before="120"/>
        <w:ind w:left="425"/>
        <w:rPr>
          <w:i/>
        </w:rPr>
      </w:pPr>
      <w:r w:rsidRPr="00D77120">
        <w:rPr>
          <w:i/>
        </w:rPr>
        <w:t>A tranzakciós ár ismeretének hiányában történő megbízás kockázata</w:t>
      </w:r>
    </w:p>
    <w:p w:rsidR="00511FD1" w:rsidRPr="00D77120" w:rsidRDefault="00511FD1" w:rsidP="00FC245C">
      <w:pPr>
        <w:spacing w:before="120"/>
        <w:ind w:left="425"/>
      </w:pPr>
      <w:r w:rsidRPr="00D77120">
        <w:t>A Befektetési Jegyre adott vételi és visszaváltási megbízás megadásának időpontjában a Befektetők nem ismerik a Befektetési Jegyek pontos árfolyamát, amelyen a megbízás teljesülni fog. A teljesüléskori árfolyam csak két banki munkanappal a megbízást követően válik ismertté. Bár az Alapkezelő Nettó Eszközérték meghatározására szolgáló – jelen Kezelési Szabályzatban rögzített – értékelési elvek és módszerek rögzítésével törekedett arra, hogy a Befektetési Jegyek teljesüléskori árfolyama az Alap befektetéseinek megbízásnapi árait tükrözze, a pontos árfolyam ismeretének hiánya kockázatot jelent.</w:t>
      </w:r>
    </w:p>
    <w:p w:rsidR="00511FD1" w:rsidRPr="00D77120" w:rsidRDefault="00511FD1" w:rsidP="00FC245C">
      <w:r w:rsidRPr="00D77120">
        <w:t>ÉRTÉKPAPÍR KÖLCSÖNBE ADÁSAKOR FELMERÜLŐ TOVÁBBI KOCKÁZATOK:</w:t>
      </w:r>
    </w:p>
    <w:p w:rsidR="00511FD1" w:rsidRPr="00D77120" w:rsidRDefault="00511FD1" w:rsidP="00FC245C">
      <w:pPr>
        <w:spacing w:before="120"/>
        <w:ind w:left="425"/>
        <w:rPr>
          <w:i/>
        </w:rPr>
      </w:pPr>
      <w:r w:rsidRPr="00D77120">
        <w:rPr>
          <w:i/>
        </w:rPr>
        <w:t>Portfólióátstrukturálási kockázat:</w:t>
      </w:r>
    </w:p>
    <w:p w:rsidR="00511FD1" w:rsidRPr="00D77120" w:rsidRDefault="00511FD1" w:rsidP="00FC245C">
      <w:pPr>
        <w:spacing w:before="120"/>
        <w:ind w:left="425"/>
      </w:pPr>
      <w:r w:rsidRPr="00D77120">
        <w:t>A futamidő alatt a kölcsönadott értékpapír gátja lehet a befektetési portfólió megfelelő átstrukturálásának.</w:t>
      </w:r>
    </w:p>
    <w:p w:rsidR="00511FD1" w:rsidRPr="00D77120" w:rsidRDefault="00511FD1" w:rsidP="00FC245C">
      <w:pPr>
        <w:spacing w:before="120"/>
        <w:ind w:left="425"/>
        <w:rPr>
          <w:i/>
        </w:rPr>
      </w:pPr>
      <w:r w:rsidRPr="00D77120">
        <w:rPr>
          <w:i/>
        </w:rPr>
        <w:t>Piaci kockázat:</w:t>
      </w:r>
    </w:p>
    <w:p w:rsidR="00511FD1" w:rsidRPr="00D77120" w:rsidRDefault="00511FD1" w:rsidP="00FC245C">
      <w:pPr>
        <w:spacing w:before="120"/>
        <w:ind w:left="425"/>
      </w:pPr>
      <w:r w:rsidRPr="00D77120">
        <w:t>A futamidő alatt az adott értékpapírral kapcsolatos bármilyen új piaci információ, esemény kapcsán nem, vagy csak korlátozottan végezhető befektetési ügylet.</w:t>
      </w:r>
    </w:p>
    <w:p w:rsidR="00511FD1" w:rsidRPr="00D77120" w:rsidRDefault="00511FD1" w:rsidP="00FC245C">
      <w:pPr>
        <w:spacing w:before="120"/>
        <w:ind w:left="425"/>
        <w:rPr>
          <w:i/>
        </w:rPr>
      </w:pPr>
      <w:r w:rsidRPr="00D77120">
        <w:rPr>
          <w:i/>
        </w:rPr>
        <w:t>Limitkockázat:</w:t>
      </w:r>
    </w:p>
    <w:p w:rsidR="00511FD1" w:rsidRPr="00D77120" w:rsidRDefault="00511FD1" w:rsidP="00FC245C">
      <w:pPr>
        <w:spacing w:before="120"/>
        <w:ind w:left="425"/>
      </w:pPr>
      <w:r w:rsidRPr="00D77120">
        <w:t>A kölcsönadott papírok kikerülnek az tulajdonos portfóliójából, így az előírt befektetési korlátozások betartása nehézséget okozhat.</w:t>
      </w:r>
    </w:p>
    <w:p w:rsidR="00511FD1" w:rsidRPr="00D77120" w:rsidRDefault="00511FD1" w:rsidP="00FC245C">
      <w:pPr>
        <w:spacing w:before="120"/>
        <w:ind w:left="425"/>
        <w:rPr>
          <w:i/>
        </w:rPr>
      </w:pPr>
      <w:r w:rsidRPr="00D77120">
        <w:rPr>
          <w:i/>
        </w:rPr>
        <w:t>Óvadéki kockázat:</w:t>
      </w:r>
    </w:p>
    <w:p w:rsidR="00511FD1" w:rsidRPr="00D77120" w:rsidRDefault="00511FD1" w:rsidP="00FC245C">
      <w:pPr>
        <w:spacing w:before="120"/>
        <w:ind w:left="425"/>
      </w:pPr>
      <w:r w:rsidRPr="00D77120">
        <w:t>Amennyiben az óvadék mértéke nem kellően magas a napon belüli ármozgáshoz képest, akkor előfordulhat, hogy nemteljesítés esetén az óvadék nem nyújt kellő fedezetet.</w:t>
      </w:r>
    </w:p>
    <w:p w:rsidR="00511FD1" w:rsidRPr="00D77120" w:rsidRDefault="00511FD1" w:rsidP="00FC245C">
      <w:pPr>
        <w:spacing w:before="120"/>
        <w:ind w:left="425"/>
        <w:rPr>
          <w:i/>
        </w:rPr>
      </w:pPr>
      <w:r w:rsidRPr="00D77120">
        <w:rPr>
          <w:i/>
        </w:rPr>
        <w:t>Idő előtti visszaadási kockázat:</w:t>
      </w:r>
    </w:p>
    <w:p w:rsidR="00511FD1" w:rsidRPr="00D77120" w:rsidRDefault="00511FD1" w:rsidP="00FC245C">
      <w:pPr>
        <w:spacing w:before="120"/>
        <w:ind w:left="425"/>
      </w:pPr>
      <w:r w:rsidRPr="00D77120">
        <w:t>Amennyiben a kölcsönbe vevőnek lehetősége van a futamidő előtti a papírokat visszaadni, akkor ez nem tervezett nehézségeket okozhat (pl. limitek betartása, portfólió kényszerátstrukturálása).</w:t>
      </w:r>
    </w:p>
    <w:p w:rsidR="00511FD1" w:rsidRPr="00D77120" w:rsidRDefault="00511FD1" w:rsidP="00FC245C">
      <w:pPr>
        <w:spacing w:before="120"/>
        <w:ind w:left="425"/>
        <w:rPr>
          <w:i/>
        </w:rPr>
      </w:pPr>
      <w:r w:rsidRPr="00D77120">
        <w:rPr>
          <w:i/>
        </w:rPr>
        <w:t>Társasági eseményhez kapcsolódó kockázat:</w:t>
      </w:r>
    </w:p>
    <w:p w:rsidR="00511FD1" w:rsidRPr="00D77120" w:rsidRDefault="00511FD1" w:rsidP="00FC245C">
      <w:pPr>
        <w:spacing w:before="120"/>
        <w:ind w:left="425"/>
      </w:pPr>
      <w:r w:rsidRPr="00D77120">
        <w:t>Amennyiben a futamidő alatt az értékpapírokhoz kapcsolódó társasági esemény (pl. split, bónuszrészvény, felvásárlási ajánlat) történik, akkor az eredeti tulajdonosnak nincs joga közvetlenül eljárni.</w:t>
      </w:r>
    </w:p>
    <w:p w:rsidR="00511FD1" w:rsidRPr="00D77120" w:rsidRDefault="00511FD1" w:rsidP="00FC245C">
      <w:pPr>
        <w:spacing w:before="120"/>
        <w:ind w:left="425"/>
        <w:rPr>
          <w:i/>
        </w:rPr>
      </w:pPr>
      <w:r w:rsidRPr="00D77120">
        <w:rPr>
          <w:i/>
        </w:rPr>
        <w:t>Szavazati joghoz kapcsolódó kockázat:</w:t>
      </w:r>
    </w:p>
    <w:p w:rsidR="00511FD1" w:rsidRPr="00D77120" w:rsidRDefault="00511FD1" w:rsidP="00FC245C">
      <w:pPr>
        <w:spacing w:before="120"/>
        <w:ind w:left="425"/>
      </w:pPr>
      <w:r w:rsidRPr="00D77120">
        <w:lastRenderedPageBreak/>
        <w:t>Az értékpapír kölcsönadásával a szavazati jog is átszáll, így a futamidő alatti új információk fényében előfordulhat, hogy az eredeti tulajdonos a közgyűlésen szeretett volna a szavazati jogával élni.</w:t>
      </w:r>
    </w:p>
    <w:p w:rsidR="007E0F55" w:rsidRPr="00D77120" w:rsidRDefault="007E0F55">
      <w:pPr>
        <w:keepLines w:val="0"/>
        <w:spacing w:after="0"/>
        <w:jc w:val="left"/>
      </w:pPr>
    </w:p>
    <w:p w:rsidR="007E0F55" w:rsidRPr="00D77120" w:rsidRDefault="007E0F55" w:rsidP="00FC245C">
      <w:pPr>
        <w:spacing w:before="120"/>
        <w:ind w:left="425"/>
      </w:pPr>
      <w:r w:rsidRPr="00D77120">
        <w:t xml:space="preserve">Az </w:t>
      </w:r>
      <w:proofErr w:type="gramStart"/>
      <w:r w:rsidRPr="00D77120">
        <w:t>Alap különböző</w:t>
      </w:r>
      <w:proofErr w:type="gramEnd"/>
      <w:r w:rsidRPr="00D77120">
        <w:t xml:space="preserve"> kockázattípusoknak való kitettségét a következő táblázat mutatja:</w:t>
      </w:r>
    </w:p>
    <w:p w:rsidR="007E0F55" w:rsidRPr="00D77120" w:rsidRDefault="007E0F55" w:rsidP="007E0F55"/>
    <w:tbl>
      <w:tblPr>
        <w:tblW w:w="8283" w:type="dxa"/>
        <w:tblInd w:w="55" w:type="dxa"/>
        <w:tblCellMar>
          <w:left w:w="70" w:type="dxa"/>
          <w:right w:w="70" w:type="dxa"/>
        </w:tblCellMar>
        <w:tblLook w:val="00A0" w:firstRow="1" w:lastRow="0" w:firstColumn="1" w:lastColumn="0" w:noHBand="0" w:noVBand="0"/>
      </w:tblPr>
      <w:tblGrid>
        <w:gridCol w:w="4668"/>
        <w:gridCol w:w="3615"/>
      </w:tblGrid>
      <w:tr w:rsidR="00E74262" w:rsidRPr="00D77120" w:rsidTr="007E0F55">
        <w:trPr>
          <w:trHeight w:val="281"/>
        </w:trPr>
        <w:tc>
          <w:tcPr>
            <w:tcW w:w="4668" w:type="dxa"/>
            <w:tcBorders>
              <w:top w:val="single" w:sz="8" w:space="0" w:color="auto"/>
              <w:left w:val="single" w:sz="8" w:space="0" w:color="auto"/>
              <w:bottom w:val="single" w:sz="8" w:space="0" w:color="auto"/>
              <w:right w:val="single" w:sz="8" w:space="0" w:color="auto"/>
            </w:tcBorders>
            <w:vAlign w:val="center"/>
          </w:tcPr>
          <w:p w:rsidR="00E74262" w:rsidRPr="00D77120" w:rsidRDefault="00E74262" w:rsidP="007E0F55">
            <w:pPr>
              <w:keepLines w:val="0"/>
              <w:spacing w:after="0"/>
              <w:jc w:val="center"/>
              <w:rPr>
                <w:rFonts w:cs="Calibri"/>
                <w:color w:val="000000"/>
              </w:rPr>
            </w:pPr>
            <w:r w:rsidRPr="00D77120">
              <w:rPr>
                <w:rFonts w:cs="Calibri"/>
                <w:color w:val="000000"/>
              </w:rPr>
              <w:t>Politikai kockázat</w:t>
            </w:r>
          </w:p>
        </w:tc>
        <w:tc>
          <w:tcPr>
            <w:tcW w:w="3615" w:type="dxa"/>
            <w:tcBorders>
              <w:top w:val="single" w:sz="8" w:space="0" w:color="auto"/>
              <w:left w:val="nil"/>
              <w:bottom w:val="single" w:sz="8" w:space="0" w:color="auto"/>
              <w:right w:val="single" w:sz="8" w:space="0" w:color="auto"/>
            </w:tcBorders>
            <w:vAlign w:val="center"/>
          </w:tcPr>
          <w:p w:rsidR="00E74262" w:rsidRPr="00E74262" w:rsidRDefault="00E74262" w:rsidP="00E74262">
            <w:pPr>
              <w:jc w:val="center"/>
            </w:pPr>
            <w:proofErr w:type="spellStart"/>
            <w:r w:rsidRPr="00E74262">
              <w:t>xx</w:t>
            </w:r>
            <w:proofErr w:type="spellEnd"/>
          </w:p>
        </w:tc>
      </w:tr>
      <w:tr w:rsidR="00E74262" w:rsidRPr="00D77120" w:rsidTr="007E0F55">
        <w:trPr>
          <w:trHeight w:val="417"/>
        </w:trPr>
        <w:tc>
          <w:tcPr>
            <w:tcW w:w="4668" w:type="dxa"/>
            <w:tcBorders>
              <w:top w:val="nil"/>
              <w:left w:val="single" w:sz="8" w:space="0" w:color="auto"/>
              <w:bottom w:val="single" w:sz="8" w:space="0" w:color="auto"/>
              <w:right w:val="single" w:sz="8" w:space="0" w:color="auto"/>
            </w:tcBorders>
            <w:vAlign w:val="center"/>
          </w:tcPr>
          <w:p w:rsidR="00E74262" w:rsidRPr="00D77120" w:rsidRDefault="00E74262" w:rsidP="007E0F55">
            <w:pPr>
              <w:keepLines w:val="0"/>
              <w:spacing w:after="0"/>
              <w:jc w:val="center"/>
              <w:rPr>
                <w:rFonts w:cs="Calibri"/>
                <w:color w:val="000000"/>
              </w:rPr>
            </w:pPr>
            <w:r w:rsidRPr="00D77120">
              <w:rPr>
                <w:rFonts w:cs="Calibri"/>
                <w:color w:val="000000"/>
              </w:rPr>
              <w:t>Belföldi makrogazdasági kockázat</w:t>
            </w:r>
          </w:p>
        </w:tc>
        <w:tc>
          <w:tcPr>
            <w:tcW w:w="3615" w:type="dxa"/>
            <w:tcBorders>
              <w:top w:val="nil"/>
              <w:left w:val="nil"/>
              <w:bottom w:val="single" w:sz="8" w:space="0" w:color="auto"/>
              <w:right w:val="single" w:sz="8" w:space="0" w:color="auto"/>
            </w:tcBorders>
            <w:vAlign w:val="center"/>
          </w:tcPr>
          <w:p w:rsidR="00E74262" w:rsidRPr="00E74262" w:rsidRDefault="00E74262" w:rsidP="00E74262">
            <w:pPr>
              <w:jc w:val="center"/>
            </w:pPr>
            <w:proofErr w:type="spellStart"/>
            <w:r w:rsidRPr="00E74262">
              <w:t>xxx</w:t>
            </w:r>
            <w:proofErr w:type="spellEnd"/>
          </w:p>
        </w:tc>
      </w:tr>
      <w:tr w:rsidR="00E74262" w:rsidRPr="00D77120" w:rsidTr="007E0F55">
        <w:trPr>
          <w:trHeight w:val="553"/>
        </w:trPr>
        <w:tc>
          <w:tcPr>
            <w:tcW w:w="4668" w:type="dxa"/>
            <w:tcBorders>
              <w:top w:val="nil"/>
              <w:left w:val="single" w:sz="8" w:space="0" w:color="auto"/>
              <w:bottom w:val="single" w:sz="8" w:space="0" w:color="auto"/>
              <w:right w:val="single" w:sz="8" w:space="0" w:color="auto"/>
            </w:tcBorders>
            <w:vAlign w:val="center"/>
          </w:tcPr>
          <w:p w:rsidR="00E74262" w:rsidRPr="00D77120" w:rsidRDefault="00E74262" w:rsidP="007E0F55">
            <w:pPr>
              <w:keepLines w:val="0"/>
              <w:spacing w:after="0"/>
              <w:jc w:val="center"/>
              <w:rPr>
                <w:rFonts w:cs="Calibri"/>
                <w:color w:val="000000"/>
              </w:rPr>
            </w:pPr>
            <w:r w:rsidRPr="00D77120">
              <w:rPr>
                <w:rFonts w:cs="Calibri"/>
                <w:color w:val="000000"/>
              </w:rPr>
              <w:t>Belföldi egyedi és részvénypiaci kockázat</w:t>
            </w:r>
          </w:p>
        </w:tc>
        <w:tc>
          <w:tcPr>
            <w:tcW w:w="3615" w:type="dxa"/>
            <w:tcBorders>
              <w:top w:val="nil"/>
              <w:left w:val="nil"/>
              <w:bottom w:val="single" w:sz="8" w:space="0" w:color="auto"/>
              <w:right w:val="single" w:sz="8" w:space="0" w:color="auto"/>
            </w:tcBorders>
            <w:vAlign w:val="center"/>
          </w:tcPr>
          <w:p w:rsidR="00E74262" w:rsidRPr="00E74262" w:rsidRDefault="00E74262" w:rsidP="00E74262">
            <w:pPr>
              <w:jc w:val="center"/>
            </w:pPr>
            <w:proofErr w:type="spellStart"/>
            <w:r w:rsidRPr="00E74262">
              <w:t>xxxx</w:t>
            </w:r>
            <w:proofErr w:type="spellEnd"/>
          </w:p>
        </w:tc>
      </w:tr>
      <w:tr w:rsidR="00E74262" w:rsidRPr="00D77120" w:rsidTr="007E0F55">
        <w:trPr>
          <w:trHeight w:val="417"/>
        </w:trPr>
        <w:tc>
          <w:tcPr>
            <w:tcW w:w="4668" w:type="dxa"/>
            <w:tcBorders>
              <w:top w:val="nil"/>
              <w:left w:val="single" w:sz="8" w:space="0" w:color="auto"/>
              <w:bottom w:val="single" w:sz="8" w:space="0" w:color="auto"/>
              <w:right w:val="single" w:sz="8" w:space="0" w:color="auto"/>
            </w:tcBorders>
            <w:vAlign w:val="center"/>
          </w:tcPr>
          <w:p w:rsidR="00E74262" w:rsidRPr="00D77120" w:rsidRDefault="00E74262" w:rsidP="007E0F55">
            <w:pPr>
              <w:keepLines w:val="0"/>
              <w:spacing w:after="0"/>
              <w:jc w:val="center"/>
              <w:rPr>
                <w:rFonts w:cs="Calibri"/>
                <w:color w:val="000000"/>
              </w:rPr>
            </w:pPr>
            <w:r w:rsidRPr="00D77120">
              <w:rPr>
                <w:rFonts w:cs="Calibri"/>
                <w:color w:val="000000"/>
              </w:rPr>
              <w:t>Nemzetközi tőkepiaci kockázat</w:t>
            </w:r>
          </w:p>
        </w:tc>
        <w:tc>
          <w:tcPr>
            <w:tcW w:w="3615" w:type="dxa"/>
            <w:tcBorders>
              <w:top w:val="nil"/>
              <w:left w:val="nil"/>
              <w:bottom w:val="single" w:sz="8" w:space="0" w:color="auto"/>
              <w:right w:val="single" w:sz="8" w:space="0" w:color="auto"/>
            </w:tcBorders>
            <w:vAlign w:val="center"/>
          </w:tcPr>
          <w:p w:rsidR="00E74262" w:rsidRPr="00E74262" w:rsidRDefault="00E74262" w:rsidP="00E74262">
            <w:pPr>
              <w:jc w:val="center"/>
            </w:pPr>
            <w:proofErr w:type="spellStart"/>
            <w:r w:rsidRPr="00E74262">
              <w:t>xxxx</w:t>
            </w:r>
            <w:proofErr w:type="spellEnd"/>
          </w:p>
        </w:tc>
      </w:tr>
      <w:tr w:rsidR="00E74262" w:rsidRPr="00D77120" w:rsidTr="007E0F55">
        <w:trPr>
          <w:trHeight w:val="281"/>
        </w:trPr>
        <w:tc>
          <w:tcPr>
            <w:tcW w:w="4668" w:type="dxa"/>
            <w:tcBorders>
              <w:top w:val="nil"/>
              <w:left w:val="single" w:sz="8" w:space="0" w:color="auto"/>
              <w:bottom w:val="single" w:sz="8" w:space="0" w:color="auto"/>
              <w:right w:val="single" w:sz="8" w:space="0" w:color="auto"/>
            </w:tcBorders>
            <w:vAlign w:val="center"/>
          </w:tcPr>
          <w:p w:rsidR="00E74262" w:rsidRPr="00D77120" w:rsidRDefault="00E74262" w:rsidP="007E0F55">
            <w:pPr>
              <w:keepLines w:val="0"/>
              <w:spacing w:after="0"/>
              <w:jc w:val="center"/>
              <w:rPr>
                <w:rFonts w:cs="Calibri"/>
                <w:color w:val="000000"/>
              </w:rPr>
            </w:pPr>
            <w:r w:rsidRPr="00D77120">
              <w:rPr>
                <w:rFonts w:cs="Calibri"/>
                <w:color w:val="000000"/>
              </w:rPr>
              <w:t>Devizakockázat</w:t>
            </w:r>
          </w:p>
        </w:tc>
        <w:tc>
          <w:tcPr>
            <w:tcW w:w="3615" w:type="dxa"/>
            <w:tcBorders>
              <w:top w:val="nil"/>
              <w:left w:val="nil"/>
              <w:bottom w:val="single" w:sz="8" w:space="0" w:color="auto"/>
              <w:right w:val="single" w:sz="8" w:space="0" w:color="auto"/>
            </w:tcBorders>
            <w:vAlign w:val="center"/>
          </w:tcPr>
          <w:p w:rsidR="00E74262" w:rsidRPr="00E74262" w:rsidRDefault="00E74262" w:rsidP="00E74262">
            <w:pPr>
              <w:jc w:val="center"/>
            </w:pPr>
            <w:proofErr w:type="spellStart"/>
            <w:r w:rsidRPr="00E74262">
              <w:t>xxxx</w:t>
            </w:r>
            <w:proofErr w:type="spellEnd"/>
          </w:p>
        </w:tc>
      </w:tr>
      <w:tr w:rsidR="00E74262" w:rsidRPr="00D77120" w:rsidTr="007E0F55">
        <w:trPr>
          <w:trHeight w:val="553"/>
        </w:trPr>
        <w:tc>
          <w:tcPr>
            <w:tcW w:w="4668" w:type="dxa"/>
            <w:tcBorders>
              <w:top w:val="nil"/>
              <w:left w:val="single" w:sz="8" w:space="0" w:color="auto"/>
              <w:bottom w:val="single" w:sz="8" w:space="0" w:color="auto"/>
              <w:right w:val="single" w:sz="8" w:space="0" w:color="auto"/>
            </w:tcBorders>
            <w:vAlign w:val="center"/>
          </w:tcPr>
          <w:p w:rsidR="00E74262" w:rsidRPr="00D77120" w:rsidRDefault="00E74262" w:rsidP="007E0F55">
            <w:pPr>
              <w:keepLines w:val="0"/>
              <w:spacing w:after="0"/>
              <w:jc w:val="center"/>
              <w:rPr>
                <w:rFonts w:cs="Calibri"/>
                <w:color w:val="000000"/>
              </w:rPr>
            </w:pPr>
            <w:r w:rsidRPr="00D77120">
              <w:rPr>
                <w:rFonts w:cs="Calibri"/>
                <w:color w:val="000000"/>
              </w:rPr>
              <w:t>Származtatott termékekből eredő kockázat</w:t>
            </w:r>
          </w:p>
        </w:tc>
        <w:tc>
          <w:tcPr>
            <w:tcW w:w="3615" w:type="dxa"/>
            <w:tcBorders>
              <w:top w:val="nil"/>
              <w:left w:val="nil"/>
              <w:bottom w:val="single" w:sz="8" w:space="0" w:color="auto"/>
              <w:right w:val="single" w:sz="8" w:space="0" w:color="auto"/>
            </w:tcBorders>
            <w:vAlign w:val="center"/>
          </w:tcPr>
          <w:p w:rsidR="00E74262" w:rsidRPr="00E74262" w:rsidRDefault="00E74262" w:rsidP="00E74262">
            <w:pPr>
              <w:jc w:val="center"/>
            </w:pPr>
            <w:proofErr w:type="spellStart"/>
            <w:r w:rsidRPr="00E74262">
              <w:t>xxx</w:t>
            </w:r>
            <w:proofErr w:type="spellEnd"/>
          </w:p>
        </w:tc>
      </w:tr>
      <w:tr w:rsidR="00E74262" w:rsidRPr="00D77120" w:rsidTr="007E0F55">
        <w:trPr>
          <w:trHeight w:val="281"/>
        </w:trPr>
        <w:tc>
          <w:tcPr>
            <w:tcW w:w="4668" w:type="dxa"/>
            <w:tcBorders>
              <w:top w:val="nil"/>
              <w:left w:val="single" w:sz="8" w:space="0" w:color="auto"/>
              <w:bottom w:val="single" w:sz="8" w:space="0" w:color="auto"/>
              <w:right w:val="single" w:sz="8" w:space="0" w:color="auto"/>
            </w:tcBorders>
            <w:vAlign w:val="center"/>
          </w:tcPr>
          <w:p w:rsidR="00E74262" w:rsidRPr="00D77120" w:rsidRDefault="00E74262" w:rsidP="007E0F55">
            <w:pPr>
              <w:keepLines w:val="0"/>
              <w:spacing w:after="0"/>
              <w:jc w:val="center"/>
              <w:rPr>
                <w:rFonts w:cs="Calibri"/>
                <w:color w:val="000000"/>
              </w:rPr>
            </w:pPr>
            <w:r w:rsidRPr="00D77120">
              <w:rPr>
                <w:rFonts w:cs="Calibri"/>
                <w:color w:val="000000"/>
              </w:rPr>
              <w:t>Befektetési kockázat</w:t>
            </w:r>
          </w:p>
        </w:tc>
        <w:tc>
          <w:tcPr>
            <w:tcW w:w="3615" w:type="dxa"/>
            <w:tcBorders>
              <w:top w:val="nil"/>
              <w:left w:val="nil"/>
              <w:bottom w:val="single" w:sz="8" w:space="0" w:color="auto"/>
              <w:right w:val="single" w:sz="8" w:space="0" w:color="auto"/>
            </w:tcBorders>
            <w:vAlign w:val="center"/>
          </w:tcPr>
          <w:p w:rsidR="00E74262" w:rsidRPr="00E74262" w:rsidRDefault="00E74262" w:rsidP="00E74262">
            <w:pPr>
              <w:jc w:val="center"/>
            </w:pPr>
            <w:proofErr w:type="spellStart"/>
            <w:r w:rsidRPr="00E74262">
              <w:t>xxxx</w:t>
            </w:r>
            <w:proofErr w:type="spellEnd"/>
          </w:p>
        </w:tc>
      </w:tr>
      <w:tr w:rsidR="00E74262" w:rsidRPr="00D77120" w:rsidTr="007E0F55">
        <w:trPr>
          <w:trHeight w:val="281"/>
        </w:trPr>
        <w:tc>
          <w:tcPr>
            <w:tcW w:w="4668" w:type="dxa"/>
            <w:tcBorders>
              <w:top w:val="nil"/>
              <w:left w:val="single" w:sz="8" w:space="0" w:color="auto"/>
              <w:bottom w:val="single" w:sz="8" w:space="0" w:color="auto"/>
              <w:right w:val="single" w:sz="8" w:space="0" w:color="auto"/>
            </w:tcBorders>
            <w:vAlign w:val="center"/>
          </w:tcPr>
          <w:p w:rsidR="00E74262" w:rsidRPr="00D77120" w:rsidRDefault="00E74262" w:rsidP="007E0F55">
            <w:pPr>
              <w:keepLines w:val="0"/>
              <w:spacing w:after="0"/>
              <w:jc w:val="center"/>
              <w:rPr>
                <w:rFonts w:cs="Calibri"/>
                <w:color w:val="000000"/>
              </w:rPr>
            </w:pPr>
            <w:r w:rsidRPr="00D77120">
              <w:rPr>
                <w:rFonts w:cs="Calibri"/>
                <w:color w:val="000000"/>
              </w:rPr>
              <w:t>Reálhozam kockázata</w:t>
            </w:r>
          </w:p>
        </w:tc>
        <w:tc>
          <w:tcPr>
            <w:tcW w:w="3615" w:type="dxa"/>
            <w:tcBorders>
              <w:top w:val="nil"/>
              <w:left w:val="nil"/>
              <w:bottom w:val="single" w:sz="8" w:space="0" w:color="auto"/>
              <w:right w:val="single" w:sz="8" w:space="0" w:color="auto"/>
            </w:tcBorders>
            <w:vAlign w:val="center"/>
          </w:tcPr>
          <w:p w:rsidR="00E74262" w:rsidRPr="00E74262" w:rsidRDefault="00E74262" w:rsidP="00E74262">
            <w:pPr>
              <w:jc w:val="center"/>
            </w:pPr>
            <w:proofErr w:type="spellStart"/>
            <w:r w:rsidRPr="00E74262">
              <w:t>xxx</w:t>
            </w:r>
            <w:proofErr w:type="spellEnd"/>
          </w:p>
        </w:tc>
      </w:tr>
      <w:tr w:rsidR="00E74262" w:rsidRPr="00D77120" w:rsidTr="007E0F55">
        <w:trPr>
          <w:trHeight w:val="553"/>
        </w:trPr>
        <w:tc>
          <w:tcPr>
            <w:tcW w:w="4668" w:type="dxa"/>
            <w:tcBorders>
              <w:top w:val="nil"/>
              <w:left w:val="single" w:sz="8" w:space="0" w:color="auto"/>
              <w:bottom w:val="single" w:sz="8" w:space="0" w:color="auto"/>
              <w:right w:val="single" w:sz="8" w:space="0" w:color="auto"/>
            </w:tcBorders>
            <w:vAlign w:val="center"/>
          </w:tcPr>
          <w:p w:rsidR="00E74262" w:rsidRPr="00D77120" w:rsidRDefault="00E74262" w:rsidP="007E0F55">
            <w:pPr>
              <w:keepLines w:val="0"/>
              <w:spacing w:after="0"/>
              <w:jc w:val="center"/>
              <w:rPr>
                <w:rFonts w:cs="Calibri"/>
                <w:color w:val="000000"/>
              </w:rPr>
            </w:pPr>
            <w:r w:rsidRPr="00D77120">
              <w:rPr>
                <w:rFonts w:cs="Calibri"/>
                <w:color w:val="000000"/>
              </w:rPr>
              <w:t>Alapok eszközeinek likviditási kockázata</w:t>
            </w:r>
          </w:p>
        </w:tc>
        <w:tc>
          <w:tcPr>
            <w:tcW w:w="3615" w:type="dxa"/>
            <w:tcBorders>
              <w:top w:val="nil"/>
              <w:left w:val="nil"/>
              <w:bottom w:val="single" w:sz="8" w:space="0" w:color="auto"/>
              <w:right w:val="single" w:sz="8" w:space="0" w:color="auto"/>
            </w:tcBorders>
            <w:vAlign w:val="center"/>
          </w:tcPr>
          <w:p w:rsidR="00E74262" w:rsidRPr="00E74262" w:rsidRDefault="00AA0DFE" w:rsidP="00E74262">
            <w:pPr>
              <w:jc w:val="center"/>
            </w:pPr>
            <w:proofErr w:type="spellStart"/>
            <w:r>
              <w:t>xxx</w:t>
            </w:r>
            <w:proofErr w:type="spellEnd"/>
          </w:p>
        </w:tc>
      </w:tr>
      <w:tr w:rsidR="00E74262" w:rsidRPr="00D77120" w:rsidTr="007E0F55">
        <w:trPr>
          <w:trHeight w:val="688"/>
        </w:trPr>
        <w:tc>
          <w:tcPr>
            <w:tcW w:w="4668" w:type="dxa"/>
            <w:tcBorders>
              <w:top w:val="nil"/>
              <w:left w:val="single" w:sz="8" w:space="0" w:color="auto"/>
              <w:bottom w:val="single" w:sz="8" w:space="0" w:color="auto"/>
              <w:right w:val="single" w:sz="8" w:space="0" w:color="auto"/>
            </w:tcBorders>
            <w:vAlign w:val="center"/>
          </w:tcPr>
          <w:p w:rsidR="00E74262" w:rsidRPr="00E74262" w:rsidRDefault="00E74262" w:rsidP="00E74262">
            <w:pPr>
              <w:keepLines w:val="0"/>
              <w:spacing w:after="0"/>
              <w:jc w:val="center"/>
              <w:rPr>
                <w:rFonts w:cs="Calibri"/>
                <w:color w:val="000000"/>
              </w:rPr>
            </w:pPr>
            <w:r w:rsidRPr="00E74262">
              <w:rPr>
                <w:rFonts w:cs="Calibri"/>
                <w:color w:val="000000"/>
              </w:rPr>
              <w:t>Befektetési jegyek forgalmazásának felfüggesztésének kockázata</w:t>
            </w:r>
          </w:p>
        </w:tc>
        <w:tc>
          <w:tcPr>
            <w:tcW w:w="3615" w:type="dxa"/>
            <w:tcBorders>
              <w:top w:val="nil"/>
              <w:left w:val="nil"/>
              <w:bottom w:val="single" w:sz="8" w:space="0" w:color="auto"/>
              <w:right w:val="single" w:sz="8" w:space="0" w:color="auto"/>
            </w:tcBorders>
            <w:vAlign w:val="center"/>
          </w:tcPr>
          <w:p w:rsidR="00E74262" w:rsidRPr="00E74262" w:rsidRDefault="00E74262" w:rsidP="00E74262">
            <w:pPr>
              <w:jc w:val="center"/>
            </w:pPr>
            <w:r w:rsidRPr="00E74262">
              <w:t>x</w:t>
            </w:r>
          </w:p>
        </w:tc>
      </w:tr>
      <w:tr w:rsidR="00E74262" w:rsidRPr="00D77120" w:rsidTr="007E0F55">
        <w:trPr>
          <w:trHeight w:val="688"/>
        </w:trPr>
        <w:tc>
          <w:tcPr>
            <w:tcW w:w="4668" w:type="dxa"/>
            <w:tcBorders>
              <w:top w:val="nil"/>
              <w:left w:val="single" w:sz="8" w:space="0" w:color="auto"/>
              <w:bottom w:val="single" w:sz="8" w:space="0" w:color="auto"/>
              <w:right w:val="single" w:sz="8" w:space="0" w:color="auto"/>
            </w:tcBorders>
            <w:vAlign w:val="center"/>
          </w:tcPr>
          <w:p w:rsidR="00E74262" w:rsidRPr="00D77120" w:rsidRDefault="00E74262" w:rsidP="007E0F55">
            <w:pPr>
              <w:keepLines w:val="0"/>
              <w:spacing w:after="0"/>
              <w:jc w:val="center"/>
              <w:rPr>
                <w:rFonts w:cs="Calibri"/>
                <w:color w:val="000000"/>
              </w:rPr>
            </w:pPr>
            <w:r w:rsidRPr="00D77120">
              <w:rPr>
                <w:rFonts w:cs="Calibri"/>
                <w:color w:val="000000"/>
              </w:rPr>
              <w:t>Nettó eszközérték számításából eredő kockázat</w:t>
            </w:r>
          </w:p>
        </w:tc>
        <w:tc>
          <w:tcPr>
            <w:tcW w:w="3615" w:type="dxa"/>
            <w:tcBorders>
              <w:top w:val="nil"/>
              <w:left w:val="nil"/>
              <w:bottom w:val="single" w:sz="8" w:space="0" w:color="auto"/>
              <w:right w:val="single" w:sz="8" w:space="0" w:color="auto"/>
            </w:tcBorders>
            <w:vAlign w:val="center"/>
          </w:tcPr>
          <w:p w:rsidR="00E74262" w:rsidRPr="00E74262" w:rsidRDefault="00E74262" w:rsidP="00E74262">
            <w:pPr>
              <w:jc w:val="center"/>
            </w:pPr>
            <w:r w:rsidRPr="00E74262">
              <w:t>x</w:t>
            </w:r>
          </w:p>
        </w:tc>
      </w:tr>
      <w:tr w:rsidR="00E74262" w:rsidRPr="00D77120" w:rsidTr="007E0F55">
        <w:trPr>
          <w:trHeight w:val="281"/>
        </w:trPr>
        <w:tc>
          <w:tcPr>
            <w:tcW w:w="4668" w:type="dxa"/>
            <w:tcBorders>
              <w:top w:val="nil"/>
              <w:left w:val="single" w:sz="8" w:space="0" w:color="auto"/>
              <w:bottom w:val="single" w:sz="8" w:space="0" w:color="auto"/>
              <w:right w:val="single" w:sz="8" w:space="0" w:color="auto"/>
            </w:tcBorders>
            <w:vAlign w:val="center"/>
          </w:tcPr>
          <w:p w:rsidR="00E74262" w:rsidRPr="00E74262" w:rsidRDefault="00E74262" w:rsidP="00E74262">
            <w:pPr>
              <w:keepLines w:val="0"/>
              <w:spacing w:after="0"/>
              <w:jc w:val="center"/>
              <w:rPr>
                <w:rFonts w:cs="Calibri"/>
                <w:color w:val="000000"/>
              </w:rPr>
            </w:pPr>
            <w:r>
              <w:rPr>
                <w:rFonts w:cs="Calibri"/>
                <w:color w:val="000000"/>
              </w:rPr>
              <w:t xml:space="preserve">Az </w:t>
            </w:r>
            <w:r w:rsidRPr="00E74262">
              <w:rPr>
                <w:rFonts w:cs="Calibri"/>
                <w:color w:val="000000"/>
              </w:rPr>
              <w:t>Alap esetleges határozott futamidejűvé alakításának kockázata</w:t>
            </w:r>
          </w:p>
        </w:tc>
        <w:tc>
          <w:tcPr>
            <w:tcW w:w="3615" w:type="dxa"/>
            <w:tcBorders>
              <w:top w:val="nil"/>
              <w:left w:val="nil"/>
              <w:bottom w:val="single" w:sz="8" w:space="0" w:color="auto"/>
              <w:right w:val="single" w:sz="8" w:space="0" w:color="auto"/>
            </w:tcBorders>
            <w:vAlign w:val="center"/>
          </w:tcPr>
          <w:p w:rsidR="00E74262" w:rsidRPr="00E74262" w:rsidRDefault="00E74262" w:rsidP="00E74262">
            <w:pPr>
              <w:jc w:val="center"/>
            </w:pPr>
            <w:r w:rsidRPr="00E74262">
              <w:t>x</w:t>
            </w:r>
          </w:p>
        </w:tc>
      </w:tr>
      <w:tr w:rsidR="00E74262" w:rsidRPr="00D77120" w:rsidTr="007E0F55">
        <w:trPr>
          <w:trHeight w:val="281"/>
        </w:trPr>
        <w:tc>
          <w:tcPr>
            <w:tcW w:w="4668" w:type="dxa"/>
            <w:tcBorders>
              <w:top w:val="nil"/>
              <w:left w:val="single" w:sz="8" w:space="0" w:color="auto"/>
              <w:bottom w:val="single" w:sz="8" w:space="0" w:color="auto"/>
              <w:right w:val="single" w:sz="8" w:space="0" w:color="auto"/>
            </w:tcBorders>
            <w:vAlign w:val="center"/>
          </w:tcPr>
          <w:p w:rsidR="00E74262" w:rsidRPr="00D77120" w:rsidRDefault="00E74262" w:rsidP="007E0F55">
            <w:pPr>
              <w:keepLines w:val="0"/>
              <w:spacing w:after="0"/>
              <w:jc w:val="center"/>
              <w:rPr>
                <w:rFonts w:cs="Calibri"/>
                <w:color w:val="000000"/>
              </w:rPr>
            </w:pPr>
            <w:r w:rsidRPr="00D77120">
              <w:rPr>
                <w:rFonts w:cs="Calibri"/>
                <w:color w:val="000000"/>
              </w:rPr>
              <w:t>Megszűnés kockázata</w:t>
            </w:r>
          </w:p>
        </w:tc>
        <w:tc>
          <w:tcPr>
            <w:tcW w:w="3615" w:type="dxa"/>
            <w:tcBorders>
              <w:top w:val="nil"/>
              <w:left w:val="nil"/>
              <w:bottom w:val="single" w:sz="8" w:space="0" w:color="auto"/>
              <w:right w:val="single" w:sz="8" w:space="0" w:color="auto"/>
            </w:tcBorders>
            <w:vAlign w:val="center"/>
          </w:tcPr>
          <w:p w:rsidR="00E74262" w:rsidRPr="00E74262" w:rsidRDefault="00E74262" w:rsidP="00E74262">
            <w:pPr>
              <w:jc w:val="center"/>
            </w:pPr>
            <w:r w:rsidRPr="00E74262">
              <w:t>x</w:t>
            </w:r>
          </w:p>
        </w:tc>
      </w:tr>
      <w:tr w:rsidR="00E74262" w:rsidRPr="00D77120" w:rsidTr="007E0F55">
        <w:trPr>
          <w:trHeight w:val="281"/>
        </w:trPr>
        <w:tc>
          <w:tcPr>
            <w:tcW w:w="4668" w:type="dxa"/>
            <w:tcBorders>
              <w:top w:val="nil"/>
              <w:left w:val="single" w:sz="8" w:space="0" w:color="auto"/>
              <w:bottom w:val="single" w:sz="8" w:space="0" w:color="auto"/>
              <w:right w:val="single" w:sz="8" w:space="0" w:color="auto"/>
            </w:tcBorders>
            <w:vAlign w:val="center"/>
          </w:tcPr>
          <w:p w:rsidR="00E74262" w:rsidRPr="00D77120" w:rsidRDefault="00E74262" w:rsidP="007E0F55">
            <w:pPr>
              <w:keepLines w:val="0"/>
              <w:spacing w:after="0"/>
              <w:jc w:val="center"/>
              <w:rPr>
                <w:rFonts w:cs="Calibri"/>
                <w:color w:val="000000"/>
              </w:rPr>
            </w:pPr>
            <w:r w:rsidRPr="00D77120">
              <w:rPr>
                <w:rFonts w:cs="Calibri"/>
                <w:color w:val="000000"/>
              </w:rPr>
              <w:t>Letétkezelő kockázata</w:t>
            </w:r>
          </w:p>
        </w:tc>
        <w:tc>
          <w:tcPr>
            <w:tcW w:w="3615" w:type="dxa"/>
            <w:tcBorders>
              <w:top w:val="nil"/>
              <w:left w:val="nil"/>
              <w:bottom w:val="single" w:sz="8" w:space="0" w:color="auto"/>
              <w:right w:val="single" w:sz="8" w:space="0" w:color="auto"/>
            </w:tcBorders>
            <w:vAlign w:val="center"/>
          </w:tcPr>
          <w:p w:rsidR="00E74262" w:rsidRPr="00E74262" w:rsidRDefault="00E74262" w:rsidP="00E74262">
            <w:pPr>
              <w:jc w:val="center"/>
            </w:pPr>
            <w:r w:rsidRPr="00E74262">
              <w:t>x</w:t>
            </w:r>
          </w:p>
        </w:tc>
      </w:tr>
      <w:tr w:rsidR="00E74262" w:rsidRPr="00D77120" w:rsidTr="007E0F55">
        <w:trPr>
          <w:trHeight w:val="553"/>
        </w:trPr>
        <w:tc>
          <w:tcPr>
            <w:tcW w:w="4668" w:type="dxa"/>
            <w:tcBorders>
              <w:top w:val="nil"/>
              <w:left w:val="single" w:sz="8" w:space="0" w:color="auto"/>
              <w:bottom w:val="single" w:sz="8" w:space="0" w:color="auto"/>
              <w:right w:val="single" w:sz="8" w:space="0" w:color="auto"/>
            </w:tcBorders>
            <w:vAlign w:val="center"/>
          </w:tcPr>
          <w:p w:rsidR="00E74262" w:rsidRPr="00D77120" w:rsidRDefault="00E74262" w:rsidP="007E0F55">
            <w:pPr>
              <w:keepLines w:val="0"/>
              <w:spacing w:after="0"/>
              <w:jc w:val="center"/>
              <w:rPr>
                <w:rFonts w:cs="Calibri"/>
                <w:color w:val="000000"/>
              </w:rPr>
            </w:pPr>
            <w:r w:rsidRPr="00D77120">
              <w:rPr>
                <w:rFonts w:cs="Calibri"/>
                <w:color w:val="000000"/>
              </w:rPr>
              <w:t>Adószabályok változásának kockázata</w:t>
            </w:r>
          </w:p>
        </w:tc>
        <w:tc>
          <w:tcPr>
            <w:tcW w:w="3615" w:type="dxa"/>
            <w:tcBorders>
              <w:top w:val="nil"/>
              <w:left w:val="nil"/>
              <w:bottom w:val="single" w:sz="8" w:space="0" w:color="auto"/>
              <w:right w:val="single" w:sz="8" w:space="0" w:color="auto"/>
            </w:tcBorders>
            <w:vAlign w:val="center"/>
          </w:tcPr>
          <w:p w:rsidR="00E74262" w:rsidRPr="00E74262" w:rsidRDefault="00E74262" w:rsidP="00E74262">
            <w:pPr>
              <w:jc w:val="center"/>
            </w:pPr>
            <w:proofErr w:type="spellStart"/>
            <w:r w:rsidRPr="00E74262">
              <w:t>xxxx</w:t>
            </w:r>
            <w:proofErr w:type="spellEnd"/>
          </w:p>
        </w:tc>
      </w:tr>
      <w:tr w:rsidR="00E74262" w:rsidRPr="00D77120" w:rsidTr="007E0F55">
        <w:trPr>
          <w:trHeight w:val="281"/>
        </w:trPr>
        <w:tc>
          <w:tcPr>
            <w:tcW w:w="4668" w:type="dxa"/>
            <w:tcBorders>
              <w:top w:val="nil"/>
              <w:left w:val="single" w:sz="8" w:space="0" w:color="auto"/>
              <w:bottom w:val="single" w:sz="8" w:space="0" w:color="auto"/>
              <w:right w:val="single" w:sz="8" w:space="0" w:color="auto"/>
            </w:tcBorders>
            <w:vAlign w:val="center"/>
          </w:tcPr>
          <w:p w:rsidR="00E74262" w:rsidRPr="00D77120" w:rsidRDefault="00E74262" w:rsidP="007E0F55">
            <w:pPr>
              <w:keepLines w:val="0"/>
              <w:spacing w:after="0"/>
              <w:jc w:val="center"/>
              <w:rPr>
                <w:rFonts w:cs="Calibri"/>
                <w:color w:val="000000"/>
              </w:rPr>
            </w:pPr>
            <w:r w:rsidRPr="00D77120">
              <w:rPr>
                <w:rFonts w:cs="Calibri"/>
                <w:color w:val="000000"/>
              </w:rPr>
              <w:t>Partnerkockázat</w:t>
            </w:r>
          </w:p>
        </w:tc>
        <w:tc>
          <w:tcPr>
            <w:tcW w:w="3615" w:type="dxa"/>
            <w:tcBorders>
              <w:top w:val="nil"/>
              <w:left w:val="nil"/>
              <w:bottom w:val="single" w:sz="8" w:space="0" w:color="auto"/>
              <w:right w:val="single" w:sz="8" w:space="0" w:color="auto"/>
            </w:tcBorders>
            <w:vAlign w:val="center"/>
          </w:tcPr>
          <w:p w:rsidR="00E74262" w:rsidRPr="00E74262" w:rsidRDefault="00E74262" w:rsidP="00E74262">
            <w:pPr>
              <w:jc w:val="center"/>
            </w:pPr>
            <w:proofErr w:type="spellStart"/>
            <w:r w:rsidRPr="00E74262">
              <w:t>xxx</w:t>
            </w:r>
            <w:proofErr w:type="spellEnd"/>
          </w:p>
        </w:tc>
      </w:tr>
      <w:tr w:rsidR="00E74262" w:rsidRPr="00D77120" w:rsidTr="007E0F55">
        <w:trPr>
          <w:trHeight w:val="960"/>
        </w:trPr>
        <w:tc>
          <w:tcPr>
            <w:tcW w:w="4668" w:type="dxa"/>
            <w:tcBorders>
              <w:top w:val="nil"/>
              <w:left w:val="single" w:sz="8" w:space="0" w:color="auto"/>
              <w:bottom w:val="single" w:sz="8" w:space="0" w:color="auto"/>
              <w:right w:val="single" w:sz="8" w:space="0" w:color="auto"/>
            </w:tcBorders>
            <w:vAlign w:val="center"/>
          </w:tcPr>
          <w:p w:rsidR="00E74262" w:rsidRPr="00D77120" w:rsidRDefault="00E74262" w:rsidP="007E0F55">
            <w:pPr>
              <w:keepLines w:val="0"/>
              <w:spacing w:after="0"/>
              <w:jc w:val="center"/>
              <w:rPr>
                <w:rFonts w:cs="Calibri"/>
                <w:color w:val="000000"/>
              </w:rPr>
            </w:pPr>
            <w:r w:rsidRPr="00D77120">
              <w:rPr>
                <w:rFonts w:cs="Calibri"/>
                <w:color w:val="000000"/>
              </w:rPr>
              <w:t xml:space="preserve">A tranzakciós ár ismeretének hiányában történő megbízás kockázata </w:t>
            </w:r>
          </w:p>
        </w:tc>
        <w:tc>
          <w:tcPr>
            <w:tcW w:w="3615" w:type="dxa"/>
            <w:tcBorders>
              <w:top w:val="nil"/>
              <w:left w:val="nil"/>
              <w:bottom w:val="single" w:sz="8" w:space="0" w:color="auto"/>
              <w:right w:val="single" w:sz="8" w:space="0" w:color="auto"/>
            </w:tcBorders>
            <w:vAlign w:val="center"/>
          </w:tcPr>
          <w:p w:rsidR="00E74262" w:rsidRPr="00E74262" w:rsidRDefault="00E74262" w:rsidP="00E74262">
            <w:pPr>
              <w:jc w:val="center"/>
            </w:pPr>
            <w:proofErr w:type="spellStart"/>
            <w:r w:rsidRPr="00E74262">
              <w:t>xx</w:t>
            </w:r>
            <w:proofErr w:type="spellEnd"/>
          </w:p>
        </w:tc>
      </w:tr>
      <w:tr w:rsidR="00E74262" w:rsidRPr="00D77120" w:rsidTr="007E0F55">
        <w:trPr>
          <w:trHeight w:val="824"/>
        </w:trPr>
        <w:tc>
          <w:tcPr>
            <w:tcW w:w="4668" w:type="dxa"/>
            <w:tcBorders>
              <w:top w:val="nil"/>
              <w:left w:val="single" w:sz="8" w:space="0" w:color="auto"/>
              <w:bottom w:val="single" w:sz="8" w:space="0" w:color="auto"/>
              <w:right w:val="single" w:sz="8" w:space="0" w:color="auto"/>
            </w:tcBorders>
            <w:vAlign w:val="center"/>
          </w:tcPr>
          <w:p w:rsidR="00E74262" w:rsidRPr="00D77120" w:rsidRDefault="00E74262" w:rsidP="007E0F55">
            <w:pPr>
              <w:keepLines w:val="0"/>
              <w:spacing w:after="0"/>
              <w:jc w:val="center"/>
              <w:rPr>
                <w:rFonts w:cs="Calibri"/>
                <w:color w:val="000000"/>
              </w:rPr>
            </w:pPr>
            <w:r w:rsidRPr="00D77120">
              <w:rPr>
                <w:rFonts w:cs="Calibri"/>
                <w:color w:val="000000"/>
              </w:rPr>
              <w:t>Értékpapír kölcsönbe adásából származó egyéb kockázatok</w:t>
            </w:r>
          </w:p>
        </w:tc>
        <w:tc>
          <w:tcPr>
            <w:tcW w:w="3615" w:type="dxa"/>
            <w:tcBorders>
              <w:top w:val="nil"/>
              <w:left w:val="nil"/>
              <w:bottom w:val="single" w:sz="8" w:space="0" w:color="auto"/>
              <w:right w:val="single" w:sz="8" w:space="0" w:color="auto"/>
            </w:tcBorders>
            <w:vAlign w:val="center"/>
          </w:tcPr>
          <w:p w:rsidR="00E74262" w:rsidRPr="00E74262" w:rsidRDefault="00E74262" w:rsidP="00E74262">
            <w:pPr>
              <w:jc w:val="center"/>
            </w:pPr>
            <w:r w:rsidRPr="00E74262">
              <w:t>x</w:t>
            </w:r>
          </w:p>
        </w:tc>
      </w:tr>
    </w:tbl>
    <w:p w:rsidR="007E0F55" w:rsidRPr="006A40E9" w:rsidRDefault="007E0F55" w:rsidP="007E0F55">
      <w:pPr>
        <w:spacing w:after="0"/>
        <w:rPr>
          <w:i/>
        </w:rPr>
      </w:pPr>
      <w:r w:rsidRPr="006A40E9">
        <w:rPr>
          <w:i/>
        </w:rPr>
        <w:t xml:space="preserve">Magyarázat: </w:t>
      </w:r>
      <w:proofErr w:type="spellStart"/>
      <w:r w:rsidRPr="006A40E9">
        <w:rPr>
          <w:i/>
        </w:rPr>
        <w:t>xxxx</w:t>
      </w:r>
      <w:proofErr w:type="spellEnd"/>
      <w:r w:rsidRPr="006A40E9">
        <w:rPr>
          <w:i/>
        </w:rPr>
        <w:t xml:space="preserve">: jelentős       </w:t>
      </w:r>
      <w:proofErr w:type="spellStart"/>
      <w:r w:rsidRPr="006A40E9">
        <w:rPr>
          <w:i/>
        </w:rPr>
        <w:t>xxx</w:t>
      </w:r>
      <w:proofErr w:type="spellEnd"/>
      <w:r w:rsidRPr="006A40E9">
        <w:rPr>
          <w:i/>
        </w:rPr>
        <w:t xml:space="preserve">: számottevő         </w:t>
      </w:r>
      <w:proofErr w:type="spellStart"/>
      <w:r w:rsidRPr="006A40E9">
        <w:rPr>
          <w:i/>
        </w:rPr>
        <w:t>xx</w:t>
      </w:r>
      <w:proofErr w:type="spellEnd"/>
      <w:r w:rsidRPr="006A40E9">
        <w:rPr>
          <w:i/>
        </w:rPr>
        <w:t xml:space="preserve">: nem elhanyagolható          x: nem jelentős, </w:t>
      </w:r>
      <w:proofErr w:type="gramStart"/>
      <w:r w:rsidRPr="006A40E9">
        <w:rPr>
          <w:i/>
        </w:rPr>
        <w:t>minimális         -</w:t>
      </w:r>
      <w:proofErr w:type="gramEnd"/>
      <w:r w:rsidRPr="006A40E9">
        <w:rPr>
          <w:i/>
        </w:rPr>
        <w:t>: nincs</w:t>
      </w:r>
    </w:p>
    <w:p w:rsidR="00740769" w:rsidRDefault="00740769" w:rsidP="00740769"/>
    <w:p w:rsidR="007E0F55" w:rsidRDefault="007E0F55">
      <w:pPr>
        <w:keepLines w:val="0"/>
        <w:spacing w:after="0"/>
        <w:jc w:val="left"/>
      </w:pPr>
      <w:r>
        <w:br w:type="page"/>
      </w:r>
    </w:p>
    <w:p w:rsidR="007E0F55" w:rsidRPr="002E6CC3" w:rsidRDefault="007E0F55" w:rsidP="007E0F55">
      <w:pPr>
        <w:pStyle w:val="Cmsor1"/>
        <w:keepLines w:val="0"/>
        <w:numPr>
          <w:ilvl w:val="0"/>
          <w:numId w:val="31"/>
        </w:numPr>
        <w:rPr>
          <w:rFonts w:ascii="Verdana" w:hAnsi="Verdana"/>
        </w:rPr>
      </w:pPr>
      <w:bookmarkStart w:id="80" w:name="_Toc349832324"/>
      <w:r w:rsidRPr="002E6CC3">
        <w:rPr>
          <w:rFonts w:ascii="Verdana" w:hAnsi="Verdana"/>
        </w:rPr>
        <w:lastRenderedPageBreak/>
        <w:t>A</w:t>
      </w:r>
      <w:r>
        <w:rPr>
          <w:rFonts w:ascii="Verdana" w:hAnsi="Verdana"/>
        </w:rPr>
        <w:t>z eszközök értékelése</w:t>
      </w:r>
      <w:bookmarkEnd w:id="80"/>
    </w:p>
    <w:p w:rsidR="007E0F55" w:rsidRPr="00D77120" w:rsidRDefault="007E0F55" w:rsidP="00FC245C">
      <w:pPr>
        <w:pStyle w:val="Cmsor2"/>
        <w:keepLines w:val="0"/>
        <w:numPr>
          <w:ilvl w:val="0"/>
          <w:numId w:val="32"/>
        </w:numPr>
        <w:rPr>
          <w:u w:val="single"/>
        </w:rPr>
      </w:pPr>
      <w:bookmarkStart w:id="81" w:name="_Toc349832325"/>
      <w:r w:rsidRPr="00D77120">
        <w:rPr>
          <w:u w:val="single"/>
        </w:rPr>
        <w:t>A nettó eszközérték megállapítása, közzétételének helye és ideje, a hibás nettó eszközérték számítása esetén követendő eljárás:</w:t>
      </w:r>
      <w:bookmarkEnd w:id="81"/>
    </w:p>
    <w:p w:rsidR="0090652B" w:rsidRPr="00D77120" w:rsidRDefault="0090652B" w:rsidP="00FC245C">
      <w:pPr>
        <w:spacing w:before="120"/>
        <w:ind w:left="425"/>
      </w:pPr>
      <w:r w:rsidRPr="00D77120">
        <w:t>A T napra vonatkozó egy Befektetési Jegyre jutó nettó eszközértéket – ami megegyezik a Befektetési Jegyek eladási és visszaváltási árával – a T napon birtokolt eszközökből és kötelezettségekből számított nettó eszközérték és a T napon forgalomban levő Befektetési Jegyek darabszámának hányadosaként kell kiszámítani. A Letétkezelő az Alapok egy Befektetési Jegyre jutó nettó eszközértékét 6 tizedesjegy pontossággal számítja ki.</w:t>
      </w:r>
    </w:p>
    <w:p w:rsidR="0090652B" w:rsidRPr="00D77120" w:rsidRDefault="0090652B" w:rsidP="00FC245C">
      <w:pPr>
        <w:spacing w:before="120"/>
        <w:ind w:left="425"/>
      </w:pPr>
      <w:r w:rsidRPr="00D77120">
        <w:t xml:space="preserve">Az Alap T napra vonatkozó nettó eszközértékét a Letétkezelő T+1 napon állapítja meg oly módon, hogy az Alap által T napon birtokolt eszközök piaci értékét azok T napi árfolyamadatainak segítségével meghatározza, és ebből levonja az Alapot T napig terhelő kötelezettségeket. </w:t>
      </w:r>
    </w:p>
    <w:p w:rsidR="0090652B" w:rsidRPr="00D77120" w:rsidRDefault="0090652B" w:rsidP="00FC245C">
      <w:pPr>
        <w:spacing w:before="120"/>
        <w:ind w:left="425"/>
      </w:pPr>
      <w:r w:rsidRPr="00D77120">
        <w:t xml:space="preserve">Az Alap </w:t>
      </w:r>
      <w:r w:rsidR="0023454A" w:rsidRPr="00D77120">
        <w:t>T napi forgalmazásának árbázisát képező nettó eszközértéke naponta kerül kiszámításra, melyet az Alapkezelő T napi dátummal ellátva</w:t>
      </w:r>
      <w:r w:rsidRPr="00D77120">
        <w:t xml:space="preserve"> a </w:t>
      </w:r>
      <w:hyperlink r:id="rId9" w:history="1">
        <w:r w:rsidRPr="00D77120">
          <w:t>www.privatvagyonkezeles.hu</w:t>
        </w:r>
      </w:hyperlink>
      <w:r w:rsidRPr="00D77120">
        <w:t xml:space="preserve"> honlapján tesz közzé</w:t>
      </w:r>
      <w:r w:rsidR="0023454A" w:rsidRPr="00D77120">
        <w:t xml:space="preserve"> T+2. napon.</w:t>
      </w:r>
    </w:p>
    <w:p w:rsidR="0090652B" w:rsidRPr="00D77120" w:rsidRDefault="0090652B" w:rsidP="00FC245C">
      <w:pPr>
        <w:spacing w:before="120"/>
        <w:ind w:left="425"/>
      </w:pPr>
      <w:r w:rsidRPr="00D77120">
        <w:t>A befektetési alapkezelő vagy megbízása alapján a letétkezelő a nyilvánosság számára köteles biztosítani az általa kezelt nyilvános befektetési alapok múltbeli - ha a befektetési alap legalább 5 éve működik - 5 éves, ennek hiányában a teljes működési időszakra vonatkozó egy jegyre jutó nettó eszközérték adatainak elérhetőségét.</w:t>
      </w:r>
    </w:p>
    <w:p w:rsidR="0090652B" w:rsidRPr="00D77120" w:rsidRDefault="0090652B" w:rsidP="00FC245C">
      <w:pPr>
        <w:spacing w:before="120"/>
        <w:ind w:left="425"/>
      </w:pPr>
      <w:r w:rsidRPr="00D77120">
        <w:t>A befektetési alap nettó eszközértéke számításában bekövetkezett hiba esetén a hibás nettó eszközértéket a hiba feltárását követő legközelebbi nettó eszközérték megállapításkor a hiba bekövetkezésének időpontjára visszamenőleges hatállyal javítani kell, amennyiben a hiba mértéke meghaladja a befektetési alap nettó eszközértékének egy ezrelékét. A javítás során a megállapított hiba bekövetkezésének időpontjában érvényes mértékének megfelelően kell módosítani a nettó eszközértéket minden olyan napra vonatkozóan, amelyet a feltárt hiba a későbbiek során érintett. A javított nettó eszközértéket közzé kell tenni</w:t>
      </w:r>
    </w:p>
    <w:p w:rsidR="0090652B" w:rsidRPr="00D77120" w:rsidRDefault="0090652B" w:rsidP="00FC245C">
      <w:pPr>
        <w:spacing w:before="120"/>
        <w:ind w:left="851"/>
      </w:pPr>
      <w:r w:rsidRPr="00D77120">
        <w:t>Nem minősül hibának az olyan hibás piaci árfolyam és adatközlés, amely nem a befektetési alapkezelő vagy a letétkezelő érdekkörében merült fel, feltéve, hogy a befektetési alapkezelő és a letétkezelő a tőle elvárható gondossággal járt el a nettó eszközérték megállapítása során.</w:t>
      </w:r>
    </w:p>
    <w:p w:rsidR="0090652B" w:rsidRPr="00D77120" w:rsidRDefault="0090652B" w:rsidP="00FC245C">
      <w:pPr>
        <w:pStyle w:val="Cmsor2"/>
        <w:keepLines w:val="0"/>
        <w:numPr>
          <w:ilvl w:val="0"/>
          <w:numId w:val="32"/>
        </w:numPr>
        <w:rPr>
          <w:u w:val="single"/>
        </w:rPr>
      </w:pPr>
      <w:bookmarkStart w:id="82" w:name="_Toc349832326"/>
      <w:r w:rsidRPr="00D77120">
        <w:rPr>
          <w:u w:val="single"/>
        </w:rPr>
        <w:t>A portfólió elemeinek értékelése:</w:t>
      </w:r>
      <w:bookmarkEnd w:id="82"/>
    </w:p>
    <w:p w:rsidR="0090652B" w:rsidRPr="00D77120" w:rsidRDefault="0090652B" w:rsidP="00FC245C">
      <w:pPr>
        <w:spacing w:before="120"/>
        <w:ind w:left="425"/>
      </w:pPr>
      <w:r w:rsidRPr="00D77120">
        <w:t>Az Alap egyes eszközeinek E-napi piaci értékét az alábbiak szerint kell meghatározni.</w:t>
      </w:r>
    </w:p>
    <w:p w:rsidR="0090652B" w:rsidRPr="00D77120" w:rsidRDefault="0090652B" w:rsidP="008A619D">
      <w:pPr>
        <w:spacing w:before="120"/>
        <w:ind w:left="425"/>
        <w:rPr>
          <w:i/>
        </w:rPr>
      </w:pPr>
      <w:r w:rsidRPr="00D77120">
        <w:rPr>
          <w:i/>
        </w:rPr>
        <w:t>Folyószámla, lekötött betét:</w:t>
      </w:r>
    </w:p>
    <w:p w:rsidR="0090652B" w:rsidRPr="00D77120" w:rsidRDefault="0090652B" w:rsidP="00FC245C">
      <w:pPr>
        <w:spacing w:before="120"/>
        <w:ind w:left="851"/>
      </w:pPr>
      <w:r w:rsidRPr="00D77120">
        <w:t>A folyószámlán elhelyezett pénzösszegek értékelésekor az E-napi folyószámla-egyenleget az előző kamatfizetés óta E-napig eltelt időszakra jutó elhatárolt kamatok összegével meg kell növelni. A lekötött betétek összegét az E-napig elhatárolt kamatok összegével kell megnövelni. Amennyiben a kamatperiódus végén a számított (elhatárolt) időarányos kamat és jóváírt kamat között különbség mutatkozik, a kamatkülönbség a jóváírás napi nettó eszközértékben kerül elismerésre.</w:t>
      </w:r>
    </w:p>
    <w:p w:rsidR="0090652B" w:rsidRPr="00D77120" w:rsidRDefault="0090652B" w:rsidP="008A619D">
      <w:pPr>
        <w:spacing w:before="120"/>
        <w:ind w:left="425"/>
        <w:rPr>
          <w:i/>
        </w:rPr>
      </w:pPr>
      <w:r w:rsidRPr="00D77120">
        <w:rPr>
          <w:i/>
        </w:rPr>
        <w:t>Hitelviszonyt megtestesítő értékpapírok (kötvények, kincstárjegyek, jelzáloglevelek):</w:t>
      </w:r>
    </w:p>
    <w:p w:rsidR="0090652B" w:rsidRPr="00D77120" w:rsidRDefault="0090652B" w:rsidP="00FC245C">
      <w:pPr>
        <w:spacing w:before="120"/>
        <w:ind w:left="851"/>
      </w:pPr>
      <w:proofErr w:type="gramStart"/>
      <w:r w:rsidRPr="00D77120">
        <w:t>a</w:t>
      </w:r>
      <w:proofErr w:type="gramEnd"/>
      <w:r w:rsidRPr="00D77120">
        <w:t>) Az Alap tulajdonában lévő, a tőzsdén jegyzett fix és változó kamatozású kötvények és jelzáloglevelek esetén – az elsődleges forgalmazói rendszerbe bevezetett, valamint a 3 hónapnál rövidebb hátralévő futamidejű államkötvényeket kivéve – egységesen az E-napig tartó időszakban az utolsó tőzsdei záró nettó árfolyam felhasználásával kell értékelni oly módon, hogy a nettó árhoz a piaci érték meghatározásakor hozzá kell adni az E-napig felhalmozott kamatokat.</w:t>
      </w:r>
    </w:p>
    <w:p w:rsidR="0090652B" w:rsidRPr="00D77120" w:rsidRDefault="0090652B" w:rsidP="00FC245C">
      <w:pPr>
        <w:spacing w:before="120"/>
        <w:ind w:left="851"/>
      </w:pPr>
      <w:r w:rsidRPr="00D77120">
        <w:t>b) Az elsődleges forgalmazói rendszerbe bevezetett (3 hónapnál hosszabb hátralévő futamidejű fix és változó kamatozású állampapírok, illetve diszkontkincstárjegyek esetén az Államadósság Kezelő Központ (a továbbiakban: ÁKK) által az E-napon, illetve annak hiányában az azt megelőző legutolsó munkanapon közzétett legjobb vételi és eladási nettó árfolyamok számtani átlaga és az E-napig felhalmozott kamatok összegeként kell a piaci értéket meghatározni.</w:t>
      </w:r>
    </w:p>
    <w:p w:rsidR="0090652B" w:rsidRPr="00D77120" w:rsidRDefault="0090652B" w:rsidP="00FC245C">
      <w:pPr>
        <w:spacing w:before="120"/>
        <w:ind w:left="851"/>
      </w:pPr>
      <w:r w:rsidRPr="00D77120">
        <w:t xml:space="preserve">c) </w:t>
      </w:r>
      <w:proofErr w:type="gramStart"/>
      <w:r w:rsidRPr="00D77120">
        <w:t>A</w:t>
      </w:r>
      <w:proofErr w:type="gramEnd"/>
      <w:r w:rsidRPr="00D77120">
        <w:t xml:space="preserve"> 3 hónapnál rövidebb hátralévő futamidejű államkötvények, diszkontkincstárjegyek és MNB-kötvények – ideértve az állami készfizető kezességgel rendelkező értékpapírokat is – esetén az ÁKK által az E-napon, illetve annak hiányában az azt megelőző legutolsó munkanapon közzétett 3 hónapos referenciahozam felhasználásával az E-napra diszkontált (lineáris kamatszámítással, 360 napos éves bázison) bruttó árfolyamként kell a piaci értéket meghatározni.</w:t>
      </w:r>
    </w:p>
    <w:p w:rsidR="0090652B" w:rsidRPr="00D77120" w:rsidRDefault="0090652B" w:rsidP="00FC245C">
      <w:pPr>
        <w:spacing w:before="120"/>
        <w:ind w:left="851"/>
      </w:pPr>
      <w:r w:rsidRPr="00D77120">
        <w:t>d) Ha a tőzsdére bevezetett hitelviszonyt megtestesítő értékpapírnak – az elsődleges forgalmazói rendszerbe bevezetett és a 3 hónapnál hosszabb hátralévő futamidejű állampapírokat, valamint a vállalati diszkontpapírokat kivéve – nincsen 30 napnál nem régebbi árfolyama, akkor a piaci érték meghatározása a tőzsdén kívüli kereskedelem szerinti regisztrált és az E-napig közzétett utolsó, forgalommal súlyozott nettó átlagár és az E-napig felhalmozott kamat felhasználásával történik, ha ez az adat nem régebbi 30 napnál. Ugyanezen módszert kell alkalmazni a tőzsdére be nem vezetett hitelviszonyt megtestesítő értékpapírra.</w:t>
      </w:r>
    </w:p>
    <w:p w:rsidR="0090652B" w:rsidRPr="00D77120" w:rsidRDefault="0090652B" w:rsidP="00FC245C">
      <w:pPr>
        <w:spacing w:before="120"/>
        <w:ind w:left="851"/>
      </w:pPr>
      <w:proofErr w:type="gramStart"/>
      <w:r w:rsidRPr="00D77120">
        <w:lastRenderedPageBreak/>
        <w:t>e</w:t>
      </w:r>
      <w:proofErr w:type="gramEnd"/>
      <w:r w:rsidRPr="00D77120">
        <w:t>) A tőzsdére bevezetett vállalati, kupon nélküli diszkontpapírok esetében az E napi ár meghatározása a legutolsó tőzsdei záróárnak megfelelő hozam segítségével történik, úgy, hogy a záróárhoz tartozó hozammal kell a diszkontpapír névértékét E napra diszkontálni. Ugyanezen módszert kell alkalmazni a tőzsdére be nem vezetett vállalati, kupon nélküli diszkontpapírokra, azzal a különbséggel, hogy a diszkontáláshoz felhasználandó hozamot a papír legutolsó a tőzsdén kívüli kereskedelem szerinti regisztrált ára, annak hiányában a beszerzési ára alapján kell kalkulálni.</w:t>
      </w:r>
    </w:p>
    <w:p w:rsidR="0090652B" w:rsidRPr="00D77120" w:rsidRDefault="0090652B" w:rsidP="00FC245C">
      <w:pPr>
        <w:spacing w:before="120"/>
        <w:ind w:left="851"/>
      </w:pPr>
      <w:proofErr w:type="gramStart"/>
      <w:r w:rsidRPr="00D77120">
        <w:t>f</w:t>
      </w:r>
      <w:proofErr w:type="gramEnd"/>
      <w:r w:rsidRPr="00D77120">
        <w:t>) Ha a fenti értékelési módszerek nem használhatóak, akkor a nettó beszerzési árat kell felhasználni oly módon, hogy a piaci érték meghatározásakor hozzá kell adni az utolsó kamatfizetés óta az E-napig felhalmozott kamatokat.</w:t>
      </w:r>
    </w:p>
    <w:p w:rsidR="0090652B" w:rsidRPr="00D77120" w:rsidRDefault="0090652B" w:rsidP="00FC245C">
      <w:pPr>
        <w:spacing w:before="120"/>
        <w:ind w:left="851"/>
      </w:pPr>
      <w:proofErr w:type="gramStart"/>
      <w:r w:rsidRPr="00D77120">
        <w:t>g</w:t>
      </w:r>
      <w:proofErr w:type="gramEnd"/>
      <w:r w:rsidRPr="00D77120">
        <w:t>) Zártkörű hitelviszonyt megtestesítő értékpapírok 3 árjegyző által jegyzett legjobb vételi és eladási hozam középértékeinek átlaga alapján E napra számított bruttó árfolyamon, ennek hiányában a beszerzéskori hozammal E napra számított bruttó árfolyamon kerülnek értékelésre.</w:t>
      </w:r>
    </w:p>
    <w:p w:rsidR="0090652B" w:rsidRPr="00D77120" w:rsidRDefault="0090652B" w:rsidP="00FC245C">
      <w:pPr>
        <w:spacing w:before="120"/>
        <w:ind w:left="851"/>
      </w:pPr>
      <w:r w:rsidRPr="00D77120">
        <w:t>Részvények (és „exchange traded fund”-ok, ETF-ek):</w:t>
      </w:r>
    </w:p>
    <w:p w:rsidR="0090652B" w:rsidRPr="00D77120" w:rsidRDefault="0090652B" w:rsidP="00FC245C">
      <w:pPr>
        <w:spacing w:before="120"/>
        <w:ind w:left="851"/>
      </w:pPr>
      <w:proofErr w:type="gramStart"/>
      <w:r w:rsidRPr="00D77120">
        <w:t>a</w:t>
      </w:r>
      <w:proofErr w:type="gramEnd"/>
      <w:r w:rsidRPr="00D77120">
        <w:t xml:space="preserve">) </w:t>
      </w:r>
      <w:proofErr w:type="spellStart"/>
      <w:r w:rsidRPr="00D77120">
        <w:t>a</w:t>
      </w:r>
      <w:proofErr w:type="spellEnd"/>
      <w:r w:rsidRPr="00D77120">
        <w:t xml:space="preserve"> tőzsdére bevezetett részvényeket és ETF-eket az E-napi tőzsdei záróárfolyam szerint kell értékelni;</w:t>
      </w:r>
    </w:p>
    <w:p w:rsidR="0090652B" w:rsidRPr="00D77120" w:rsidRDefault="0090652B" w:rsidP="00FC245C">
      <w:pPr>
        <w:spacing w:before="120"/>
        <w:ind w:left="851"/>
      </w:pPr>
      <w:r w:rsidRPr="00D77120">
        <w:t>b) ha az adott napon nem történt üzletkötés, akkor a legutolsó tőzsdei záróárfolyamot kell használni, ha ez az árfolyam az E-naphoz képest 30 napnál nem régebbi;</w:t>
      </w:r>
    </w:p>
    <w:p w:rsidR="0090652B" w:rsidRPr="00D77120" w:rsidRDefault="0090652B" w:rsidP="00FC245C">
      <w:pPr>
        <w:spacing w:before="120"/>
        <w:ind w:left="851"/>
      </w:pPr>
      <w:r w:rsidRPr="00D77120">
        <w:t>c) amennyiben az adott tőzsdére bevezetett részvényre legalább 30 napja nem történt kötés a tőzsdén, akkor a tőzsdén kívüli kereskedelem szerinti és a BÉT hivatalos lapjában közzétett utolsó súlyozott átlagárfolyam alapján kell meghatározni az eszköz értékelési árfolyamát, ha az nem régebbi 30 napnál;</w:t>
      </w:r>
    </w:p>
    <w:p w:rsidR="0090652B" w:rsidRPr="00D77120" w:rsidRDefault="0090652B" w:rsidP="00FC245C">
      <w:pPr>
        <w:spacing w:before="120"/>
        <w:ind w:left="851"/>
      </w:pPr>
      <w:r w:rsidRPr="00D77120">
        <w:t>d) a tőzsdére nem bevezetett részvény esetében a tőzsdén kívüli kereskedelem szerinti regisztrált és a BÉT hivatalos lapjában közzétett utolsó súlyozott átlagárfolyam alapján kell meghatározni az eszköz értékelési árfolyamát, ha az nem régebbi 30 napnál;</w:t>
      </w:r>
    </w:p>
    <w:p w:rsidR="0090652B" w:rsidRPr="00D77120" w:rsidRDefault="0090652B" w:rsidP="00FC245C">
      <w:pPr>
        <w:spacing w:before="120"/>
        <w:ind w:left="851"/>
      </w:pPr>
      <w:proofErr w:type="gramStart"/>
      <w:r w:rsidRPr="00D77120">
        <w:t>e</w:t>
      </w:r>
      <w:proofErr w:type="gramEnd"/>
      <w:r w:rsidRPr="00D77120">
        <w:t>) ha egyik módszer sem alkalmazható, akkor függetlenül annak régiségétől, az utolsó tőzsdei, ennek hiányában tőzsdén kívüli árfolyam, illetve a beszerzési ár közül az alacsonyabbat kell figyelembe venni.</w:t>
      </w:r>
    </w:p>
    <w:p w:rsidR="0090652B" w:rsidRPr="00D77120" w:rsidRDefault="0090652B" w:rsidP="00FC245C">
      <w:pPr>
        <w:spacing w:before="120"/>
        <w:ind w:left="851"/>
      </w:pPr>
      <w:proofErr w:type="gramStart"/>
      <w:r w:rsidRPr="00D77120">
        <w:t>f) abban az esetben, ha tőzsdére bevezetett részvény kereskedése PSZÁF határozat miatt több, mint két napra fel van függesztve és az Alapkezelőhöz olyan, a  részvényre vonatkozó vételi vagy eladási  ajánlat érkezik, amely legalább 10 százalékkal kedvezőbb, mint  a felfüggesztés előtti tőzsdei záróárfolyam és az ajánlat pénzügyileg megalapozott, a részvényt az ajánlati áron kell értékelni abban az esetben, ha az ajánlattal érintett részvények darabszámának és az ajánlatban szereplő árfolyam és a felfüggesztés előtti tőzsdei záróárfolyam különbségének szorzata meghaladja az Alap nettó eszközérékének</w:t>
      </w:r>
      <w:proofErr w:type="gramEnd"/>
      <w:r w:rsidRPr="00D77120">
        <w:t xml:space="preserve"> 1 százalékát.</w:t>
      </w:r>
    </w:p>
    <w:p w:rsidR="00E56E60" w:rsidRPr="00D77120" w:rsidRDefault="00E56E60" w:rsidP="008A619D">
      <w:pPr>
        <w:spacing w:before="120"/>
        <w:ind w:left="425"/>
        <w:rPr>
          <w:i/>
        </w:rPr>
      </w:pPr>
      <w:r w:rsidRPr="00D77120">
        <w:rPr>
          <w:i/>
        </w:rPr>
        <w:t>Nyíltvégű befektetési alapok jegyei</w:t>
      </w:r>
    </w:p>
    <w:p w:rsidR="00E56E60" w:rsidRPr="00D77120" w:rsidRDefault="00E56E60" w:rsidP="00FC245C">
      <w:pPr>
        <w:spacing w:before="120"/>
        <w:ind w:left="851"/>
      </w:pPr>
      <w:r w:rsidRPr="00D77120">
        <w:t xml:space="preserve">Nyíltvégű befektetési alapok jegyeinek E napi értéke az a hivatalos nettó eszközérték, amelyen a befektetési jegyek E napon visszaválthatóak. Ennek megfelelően a befektetési jegyek E napi értékének meghatározásához az adott befektetési jegy E napi (forgalmazásra vonatkozó) hivatalos egy jegyre jutó nettó eszközértékét kell használni. </w:t>
      </w:r>
    </w:p>
    <w:p w:rsidR="00E56E60" w:rsidRPr="00D77120" w:rsidRDefault="00E56E60" w:rsidP="008A619D">
      <w:pPr>
        <w:spacing w:before="120"/>
        <w:ind w:left="425"/>
        <w:rPr>
          <w:i/>
        </w:rPr>
      </w:pPr>
      <w:r w:rsidRPr="00D77120">
        <w:rPr>
          <w:i/>
        </w:rPr>
        <w:t>Zártvégű befektetési alapok jegyei</w:t>
      </w:r>
    </w:p>
    <w:p w:rsidR="00E56E60" w:rsidRPr="00D77120" w:rsidRDefault="00E56E60" w:rsidP="00FC245C">
      <w:pPr>
        <w:spacing w:before="120"/>
        <w:ind w:left="851"/>
      </w:pPr>
      <w:proofErr w:type="gramStart"/>
      <w:r w:rsidRPr="00D77120">
        <w:t>a</w:t>
      </w:r>
      <w:proofErr w:type="gramEnd"/>
      <w:r w:rsidRPr="00D77120">
        <w:t>) Amennyiben az adott zártvégű befektetési alap jegyeire van árjegyzés, akkor azok az E napi vételi és eladási árjegyzés középértékén kerülnek értékelésre.</w:t>
      </w:r>
    </w:p>
    <w:p w:rsidR="00E56E60" w:rsidRPr="00D77120" w:rsidRDefault="00E56E60" w:rsidP="00FC245C">
      <w:pPr>
        <w:spacing w:before="120"/>
        <w:ind w:left="851"/>
      </w:pPr>
      <w:r w:rsidRPr="00D77120">
        <w:t>b) Amennyiben az adott zártvégű befektetési alap jegyeire nincs árjegyzés, de a befektetési jegyek tőzsdén kereskedettek, akkor azok a legutolsó – 30 napnál nem régebbi – tőzsdei záróárfolyamon kerülnek értékelésre.</w:t>
      </w:r>
    </w:p>
    <w:p w:rsidR="00E56E60" w:rsidRPr="00D77120" w:rsidRDefault="00E56E60" w:rsidP="00FC245C">
      <w:pPr>
        <w:spacing w:before="120"/>
        <w:ind w:left="851"/>
      </w:pPr>
      <w:r w:rsidRPr="00D77120">
        <w:t>c) Amennyiben az adott zártvégű befektetés alap jegyeire nincs árjegyzés és tőzsdén sem kereskedettek, illetve tőzsdei áruk 30 napnál régebbi, akkor azokat az E napi egy jegyre jutó eszközértéken kerülnek értékelésre.</w:t>
      </w:r>
    </w:p>
    <w:p w:rsidR="00E56E60" w:rsidRPr="00D77120" w:rsidRDefault="00E56E60" w:rsidP="008A619D">
      <w:pPr>
        <w:spacing w:before="120"/>
        <w:ind w:left="425"/>
        <w:rPr>
          <w:i/>
        </w:rPr>
      </w:pPr>
      <w:r w:rsidRPr="00D77120">
        <w:rPr>
          <w:i/>
        </w:rPr>
        <w:t>Külföldi befektetések értékelése:</w:t>
      </w:r>
    </w:p>
    <w:p w:rsidR="00E56E60" w:rsidRPr="00D77120" w:rsidRDefault="00E56E60" w:rsidP="00FC245C">
      <w:pPr>
        <w:spacing w:before="120"/>
        <w:ind w:left="851"/>
      </w:pPr>
      <w:r w:rsidRPr="00D77120">
        <w:t>A külföldi befektetések révén keletkezett pozíciók devizában kifejezett értékét az E-napon közzétett, ennek hiányában a legutolsó nyilvánosságra hozott MNB középárfolyam felhasználásával kell forintban kifejezni. Abban az esetben, ha egy adott devizánál a Reuters által E-napra közzétett deviza (fixing) árfolyama legalább 1%-kal eltér az MNB által E-napra közzétett deviza középértéktől, a valódiság elvének, valamint a legfrissebb piaci árfolyamok használatának érdekében az értékeléshez a Reuters által közzétett deviza (fixing) árfolyamát kell használni.</w:t>
      </w:r>
    </w:p>
    <w:p w:rsidR="00E56E60" w:rsidRPr="00D77120" w:rsidRDefault="00E56E60" w:rsidP="00FC245C">
      <w:pPr>
        <w:spacing w:before="120"/>
        <w:ind w:left="851"/>
      </w:pPr>
      <w:r w:rsidRPr="00D77120">
        <w:t>1. Hitelviszonyt megtestesítő értékpapírok:</w:t>
      </w:r>
    </w:p>
    <w:p w:rsidR="00E56E60" w:rsidRPr="00D77120" w:rsidRDefault="00E56E60" w:rsidP="00FC245C">
      <w:pPr>
        <w:spacing w:before="120"/>
        <w:ind w:left="851"/>
      </w:pPr>
      <w:proofErr w:type="gramStart"/>
      <w:r w:rsidRPr="00D77120">
        <w:t>a</w:t>
      </w:r>
      <w:proofErr w:type="gramEnd"/>
      <w:r w:rsidRPr="00D77120">
        <w:t>) az Alap tulajdonában lévő, hitelviszonyt megtestesítő értékpapírokat egységesen az utolsó nyilvánosságra hozott nettó árfolyam és az E-napig számított felhalmozott kamatok összegeként kell értékelni;</w:t>
      </w:r>
    </w:p>
    <w:p w:rsidR="00E56E60" w:rsidRPr="00D77120" w:rsidRDefault="00E56E60" w:rsidP="00FC245C">
      <w:pPr>
        <w:spacing w:before="120"/>
        <w:ind w:left="851"/>
      </w:pPr>
      <w:r w:rsidRPr="00D77120">
        <w:lastRenderedPageBreak/>
        <w:t>b) ha a fenti értékelési módszer nem használható, akkor a nettó beszerzési árat kell felhasználni oly módon, hogy a piaci érték meghatározásakor hozzá kell adni az értékpapír utolsó kamatfizetése óta az E-napig felhalmozott kamatokat.</w:t>
      </w:r>
    </w:p>
    <w:p w:rsidR="00E56E60" w:rsidRPr="00D77120" w:rsidRDefault="00E56E60" w:rsidP="00FC245C">
      <w:pPr>
        <w:spacing w:before="120"/>
        <w:ind w:left="851"/>
      </w:pPr>
      <w:r w:rsidRPr="00D77120">
        <w:t>2. Részvények:</w:t>
      </w:r>
    </w:p>
    <w:p w:rsidR="00E56E60" w:rsidRPr="00D77120" w:rsidRDefault="00E56E60" w:rsidP="00FC245C">
      <w:pPr>
        <w:spacing w:before="120"/>
        <w:ind w:left="851"/>
      </w:pPr>
      <w:proofErr w:type="gramStart"/>
      <w:r w:rsidRPr="00D77120">
        <w:t>a</w:t>
      </w:r>
      <w:proofErr w:type="gramEnd"/>
      <w:r w:rsidRPr="00D77120">
        <w:t xml:space="preserve">) </w:t>
      </w:r>
      <w:proofErr w:type="spellStart"/>
      <w:r w:rsidRPr="00D77120">
        <w:t>a</w:t>
      </w:r>
      <w:proofErr w:type="spellEnd"/>
      <w:r w:rsidRPr="00D77120">
        <w:t xml:space="preserve"> tőzsdére és elismert értékpapírpiacra bevezetett részvényeket az E-napi záróárfolyam, annak hiányában az E-napra nyilvánosságra hozott árfolyam szerint kell értékelni;</w:t>
      </w:r>
    </w:p>
    <w:p w:rsidR="00E56E60" w:rsidRPr="00D77120" w:rsidRDefault="00E56E60" w:rsidP="00FC245C">
      <w:pPr>
        <w:spacing w:before="120"/>
        <w:ind w:left="851"/>
      </w:pPr>
      <w:r w:rsidRPr="00D77120">
        <w:t>b) ha az árfolyam keletkezésének helyén az adott napon nem történt üzletkötés, akkor a legutolsó nyilvánosságra hozott árfolyamot kell használni, ha ez az árfolyam az E-naphoz képest 30 napnál nem régebbi;</w:t>
      </w:r>
    </w:p>
    <w:p w:rsidR="00E56E60" w:rsidRPr="00D77120" w:rsidRDefault="00E56E60" w:rsidP="00FC245C">
      <w:pPr>
        <w:spacing w:before="120"/>
        <w:ind w:left="851"/>
      </w:pPr>
      <w:r w:rsidRPr="00D77120">
        <w:t>c) ha egyik módszer sem alkalmazható, akkor a beszerzési árat kell használni.</w:t>
      </w:r>
    </w:p>
    <w:p w:rsidR="00E56E60" w:rsidRPr="00D77120" w:rsidRDefault="00E56E60" w:rsidP="00FC245C">
      <w:pPr>
        <w:spacing w:before="120"/>
        <w:ind w:left="851"/>
      </w:pPr>
      <w:r w:rsidRPr="00D77120">
        <w:t>3. Befektetési jegyek és egyéb kollektív befektetési értékpapírok:</w:t>
      </w:r>
    </w:p>
    <w:p w:rsidR="00E56E60" w:rsidRPr="00D77120" w:rsidRDefault="00E56E60" w:rsidP="00FC245C">
      <w:pPr>
        <w:spacing w:before="120"/>
        <w:ind w:left="851"/>
      </w:pPr>
      <w:proofErr w:type="gramStart"/>
      <w:r w:rsidRPr="00D77120">
        <w:t>a</w:t>
      </w:r>
      <w:proofErr w:type="gramEnd"/>
      <w:r w:rsidRPr="00D77120">
        <w:t>) tőzsdére bevezetett befektetési jegyeket és kollektív befektetési értékpapírokat az E-napi, annak hiányában az azt megelőző legutolsó napi tőzsdei záróárfolyamon kell értékelni – amennyiben ez 30 napnál nem régebbi. Amennyiben nincs a kollektív befektetési értékpapírok értékeléséhez használható – 30 napnál nem régebbi – tőzsdei záróárfolyam, úgy az adott alapkezelő által az E-napig közzétett utolsó egy jegyre jutó nettó eszközértéket kell figyelembe venni. Ha az E-napig közzétett utolsó nettó eszközérték időpontját követően az alap hozamot fizetett – és a hozamfizetés óta nincs hivatalosan közzétett eszközérték –, úgy a hozammal csökkentett egy jegyre jutó nettó eszközértékkel kell kalkulálni.</w:t>
      </w:r>
    </w:p>
    <w:p w:rsidR="00E56E60" w:rsidRPr="00D77120" w:rsidRDefault="00E56E60" w:rsidP="00FC245C">
      <w:pPr>
        <w:spacing w:before="120"/>
        <w:ind w:left="851"/>
      </w:pPr>
      <w:r w:rsidRPr="00D77120">
        <w:t>b) tőzsdére be nem vezetett nyíltvégű befektetési jegyeket és egyéb kollektív befektetési értékpapírokat az E-napra vonatkozó (E-napi dátummal megjelenő), azaz az adott befektetési alap tájékoztatója szerinti E-napi egy jegyre jutó nettó eszközértéken, annak hiányában az azt megelőző legutolsó napi egy jegyre jutó nettó eszközértéken kell figyelembe venni. A zártvégű befektetési alap által kibocsátott befektetési jegyek – amennyiben az adott zártvégű befektetési alap jegyeire van 30 napnál nem régebbi árjegyzés, akkor – az E napi vételi és eladási árjegyzés középértékén kerülnek értékelésre. Mindezek hiányában az alapkezelő által az E-napig közzétett utolsó egy jegyre jutó nettó eszközértéket kell figyelembe venni</w:t>
      </w:r>
    </w:p>
    <w:p w:rsidR="00E56E60" w:rsidRPr="00D77120" w:rsidRDefault="00E56E60" w:rsidP="008A619D">
      <w:pPr>
        <w:spacing w:before="120"/>
        <w:ind w:left="425"/>
        <w:rPr>
          <w:i/>
        </w:rPr>
      </w:pPr>
      <w:r w:rsidRPr="00D77120">
        <w:rPr>
          <w:i/>
        </w:rPr>
        <w:t>Rövid (short) pozíció értékelése</w:t>
      </w:r>
    </w:p>
    <w:p w:rsidR="00E56E60" w:rsidRPr="00D77120" w:rsidRDefault="00E56E60" w:rsidP="00FC245C">
      <w:pPr>
        <w:spacing w:before="120"/>
        <w:ind w:left="851"/>
      </w:pPr>
      <w:r w:rsidRPr="00D77120">
        <w:t>A rövid pozíció E-napi értékének kiszámításához a kölcsönvett instrumentumok fenti értékelési módszerek alapján meghatározott E-napi (vagy annak hiányában a legutolsó) piaci árfolyama és mennyisége alapján számolt kötelezettségállományt kell figyelembe venni. (Ezzel szemben áll az instrumentumok eladásából származó eszközök fenti értékelési módszerek alapján számolt piaci értéke.)</w:t>
      </w:r>
    </w:p>
    <w:p w:rsidR="00E56E60" w:rsidRPr="00D77120" w:rsidRDefault="00E56E60" w:rsidP="00FC245C">
      <w:pPr>
        <w:spacing w:before="120"/>
        <w:ind w:left="851"/>
      </w:pPr>
      <w:r w:rsidRPr="00D77120">
        <w:t>Amennyiben az adott értékpapír esetén az annak megfelelő fenti árazási módszer – az értékpapír piaci árának valamely piaci szereplő által történő vélelmezhetően szándékos eltérítése miatt – nem az adott értékpapír valós értékét tükrözi, a Letétkezelőnek – az Alapkezelő egyetértésével – joga van az adott értékpapír árát azon módszer segítségével meghatározni, amely legjobban megfelel a valódiság elvének.</w:t>
      </w:r>
    </w:p>
    <w:p w:rsidR="00E56E60" w:rsidRPr="00D77120" w:rsidRDefault="00E56E60" w:rsidP="008A619D">
      <w:pPr>
        <w:pStyle w:val="Cmsor2"/>
        <w:keepLines w:val="0"/>
        <w:numPr>
          <w:ilvl w:val="0"/>
          <w:numId w:val="32"/>
        </w:numPr>
        <w:rPr>
          <w:u w:val="single"/>
        </w:rPr>
      </w:pPr>
      <w:bookmarkStart w:id="83" w:name="_Toc349832327"/>
      <w:r w:rsidRPr="00D77120">
        <w:rPr>
          <w:u w:val="single"/>
        </w:rPr>
        <w:t>A származtatott ügyletek értékelése:</w:t>
      </w:r>
      <w:bookmarkEnd w:id="83"/>
    </w:p>
    <w:p w:rsidR="0090652B" w:rsidRPr="00D77120" w:rsidRDefault="0090652B" w:rsidP="008A619D">
      <w:pPr>
        <w:spacing w:before="120"/>
        <w:ind w:left="425"/>
        <w:rPr>
          <w:i/>
        </w:rPr>
      </w:pPr>
      <w:r w:rsidRPr="00D77120">
        <w:rPr>
          <w:i/>
        </w:rPr>
        <w:t>Tőzsdei származtatott ügyletek</w:t>
      </w:r>
    </w:p>
    <w:p w:rsidR="0090652B" w:rsidRPr="00D77120" w:rsidRDefault="0090652B" w:rsidP="008A619D">
      <w:pPr>
        <w:spacing w:before="120"/>
        <w:ind w:left="851"/>
      </w:pPr>
      <w:proofErr w:type="gramStart"/>
      <w:r w:rsidRPr="00D77120">
        <w:t>a</w:t>
      </w:r>
      <w:proofErr w:type="gramEnd"/>
      <w:r w:rsidRPr="00D77120">
        <w:t>) Tőzsdei határidős ügyletek (futures): A nyitott tőzsdei határidős ügyleteket az adott instrumentumra kialakult E napi hivatalos elszámolóáron kell figyelembe venni. Ennek megfelelően a határidős pozíció értéke E napon megegyezik az E napi hivatalos elszámolóár és az azt megelőző utolsó elszámolóár különbözetének, valamint a kontraktusok méretének és mennyiségnek a szorzatával.</w:t>
      </w:r>
    </w:p>
    <w:p w:rsidR="0090652B" w:rsidRPr="00D77120" w:rsidRDefault="0090652B" w:rsidP="008A619D">
      <w:pPr>
        <w:spacing w:before="120"/>
        <w:ind w:left="851"/>
      </w:pPr>
      <w:r w:rsidRPr="00D77120">
        <w:t xml:space="preserve">b) Tőzsdei opciós ügyletek: a nyitott tőzsdei opciós ügyletek az E napi tőzsdei opciós záróáron (elszámolóáron) kerülnek értékelésre. Amennyiben E napon tőzsdei ár nem áll rendelkezésre, az utolsó tőzsdei árat kell alkalmazni. Amennyiben az utolsó tőzsdei ár 30 napnál régebbi, a tőzsdei opciók értékelését a nem tőzsdei opciók szabályai szerint kell elvégezni. </w:t>
      </w:r>
    </w:p>
    <w:p w:rsidR="0090652B" w:rsidRPr="00D77120" w:rsidRDefault="0090652B" w:rsidP="008A619D">
      <w:pPr>
        <w:spacing w:before="120"/>
        <w:ind w:left="425"/>
        <w:rPr>
          <w:i/>
        </w:rPr>
      </w:pPr>
      <w:r w:rsidRPr="00D77120">
        <w:rPr>
          <w:i/>
        </w:rPr>
        <w:t>Tőzsdén kívüli származtatott ügyletek:</w:t>
      </w:r>
    </w:p>
    <w:p w:rsidR="0090652B" w:rsidRPr="00D77120" w:rsidRDefault="0090652B" w:rsidP="008A619D">
      <w:pPr>
        <w:spacing w:before="120"/>
        <w:ind w:left="425"/>
      </w:pPr>
      <w:r w:rsidRPr="00D77120">
        <w:t>1. Határidős (forward) megállapodások</w:t>
      </w:r>
    </w:p>
    <w:p w:rsidR="0090652B" w:rsidRPr="00D77120" w:rsidRDefault="0090652B" w:rsidP="008A619D">
      <w:pPr>
        <w:spacing w:before="120"/>
        <w:ind w:left="851"/>
      </w:pPr>
      <w:r w:rsidRPr="00D77120">
        <w:t>A forward vételi megállapodás E-napi piaci értéke a mögöttes instrumentum (alaptermék) E-napi – a határidős ügylet teljesítéséig várható pénzáramlások jelenértékével csökkentett – piaci értékének és a forward megállapodásban szereplő vételi árfolyam E-napra vonatkozó jelenértékének a különbségével egyezik meg.</w:t>
      </w:r>
    </w:p>
    <w:p w:rsidR="0090652B" w:rsidRPr="00D77120" w:rsidRDefault="0090652B" w:rsidP="008A619D">
      <w:pPr>
        <w:spacing w:before="120"/>
        <w:ind w:left="851"/>
      </w:pPr>
      <w:r w:rsidRPr="00D77120">
        <w:t>A forward eladási megállapodás E-napi piaci értéke a forward megállapodásban szereplő eladási árfolyam E-napra vonatkozó jelenértékének és a mögöttes instrumentum (alaptermék) E-napi – a határidős ügylet teljesítéséig várható pénzáramlások jelenértékével csökkentett – piaci értékének a különbségével egyezik meg.</w:t>
      </w:r>
    </w:p>
    <w:p w:rsidR="0090652B" w:rsidRPr="00D77120" w:rsidRDefault="0090652B" w:rsidP="008A619D">
      <w:pPr>
        <w:spacing w:before="120"/>
        <w:ind w:left="851"/>
      </w:pPr>
      <w:r w:rsidRPr="00D77120">
        <w:lastRenderedPageBreak/>
        <w:t>A jelenérték-számítás során használt kamatok forrása forint esetében a Magyar Nemzeti Bank E-napi BUBOR-kamatfixingjei, egyéb devizák esetében a Reuters oldalán található pénzpiaci kamatok közepe (bid/ask jegyzés egyszerű számtani átlaga)</w:t>
      </w:r>
    </w:p>
    <w:p w:rsidR="0090652B" w:rsidRPr="00D77120" w:rsidRDefault="0090652B" w:rsidP="008A619D">
      <w:pPr>
        <w:spacing w:before="120"/>
        <w:ind w:left="425"/>
      </w:pPr>
      <w:r w:rsidRPr="00D77120">
        <w:t>2. Opciós ügyletek:</w:t>
      </w:r>
    </w:p>
    <w:p w:rsidR="0090652B" w:rsidRPr="00D77120" w:rsidRDefault="0090652B" w:rsidP="008A619D">
      <w:pPr>
        <w:spacing w:before="120"/>
        <w:ind w:left="851"/>
      </w:pPr>
      <w:r w:rsidRPr="00D77120">
        <w:t>A vásárolt opció értéke a nettó eszközértéket növeli, az eladott (kiírt) opció értéke pedig azt csökkenti.</w:t>
      </w:r>
    </w:p>
    <w:p w:rsidR="0090652B" w:rsidRPr="00D77120" w:rsidRDefault="0090652B" w:rsidP="008A619D">
      <w:pPr>
        <w:spacing w:before="120"/>
        <w:ind w:left="851"/>
      </w:pPr>
      <w:r w:rsidRPr="00D77120">
        <w:t>Az opció értékét az alaptermék jellegét is figyelembe vevő – az adott alaptermékre szóló opciós piacon legelterjedtebb –értékelési modell segítségével kell meghatározni. (Ennek megfelelően a részvényre szóló vételi és eladási opciók értékének meghatározása a Black-Scholes képlet segítéségével történik.) Az értékeléshez a legutolsó bekerüléshez tartozó beszerzési árból visszaszámolható implikált volatilitást kell felhasználni.</w:t>
      </w:r>
    </w:p>
    <w:p w:rsidR="0090652B" w:rsidRPr="00D77120" w:rsidRDefault="0090652B" w:rsidP="008A619D">
      <w:pPr>
        <w:spacing w:before="120"/>
        <w:ind w:left="851"/>
      </w:pPr>
      <w:r w:rsidRPr="00D77120">
        <w:t>A Letétkezelő – az Alapkezelő egyetértésével – az óvatosság és a valódiság elvének egyidejű figyelembevételével indokolt esetben dönthet úgy, hogy vásárolt opció esetén a fenti árazási módszerrel kapott értéknél alacsonyabb, eladott (kiírt) opció esetén pedig (abszolút értékben) a fenti árazási módszerrel kapott értéknél magasabb áron értékeli az opciót.</w:t>
      </w:r>
    </w:p>
    <w:p w:rsidR="0090652B" w:rsidRPr="00D77120" w:rsidRDefault="0090652B" w:rsidP="008A619D">
      <w:pPr>
        <w:spacing w:before="120"/>
        <w:ind w:left="425"/>
        <w:rPr>
          <w:i/>
        </w:rPr>
      </w:pPr>
      <w:r w:rsidRPr="00D77120">
        <w:rPr>
          <w:i/>
        </w:rPr>
        <w:t>Swap ügyletek:</w:t>
      </w:r>
    </w:p>
    <w:p w:rsidR="0090652B" w:rsidRPr="00D77120" w:rsidRDefault="0090652B" w:rsidP="008A619D">
      <w:pPr>
        <w:spacing w:before="120"/>
        <w:ind w:left="851"/>
      </w:pPr>
      <w:r w:rsidRPr="00D77120">
        <w:t xml:space="preserve">A swap ügylet a kétoldali ellentétes irányú kötelezettségek E napra számolt jelenértékének különbözeteként kerül értékelésre. A kötelezettségek jelenértékének kiszámításához a kötelezettség hátralévő futamidejéhez legközelebb eső két bankközi kamat vagy 1 évnél hosszabb instrumentum esetén nyilvánosan hozzáférhető zéró kupon görbe pontjai napokkal súlyozott átlagának megfelelő diszkontrátát kell alkalmazni. </w:t>
      </w:r>
    </w:p>
    <w:p w:rsidR="0090652B" w:rsidRPr="00D77120" w:rsidRDefault="0090652B" w:rsidP="008A619D">
      <w:pPr>
        <w:spacing w:before="120"/>
        <w:ind w:left="425"/>
        <w:rPr>
          <w:i/>
        </w:rPr>
      </w:pPr>
      <w:r w:rsidRPr="00D77120">
        <w:rPr>
          <w:i/>
        </w:rPr>
        <w:t>Repó ügyletek (fordított repó):</w:t>
      </w:r>
    </w:p>
    <w:p w:rsidR="0090652B" w:rsidRPr="00D77120" w:rsidRDefault="0090652B" w:rsidP="008A619D">
      <w:pPr>
        <w:spacing w:before="120"/>
        <w:ind w:left="851"/>
      </w:pPr>
      <w:proofErr w:type="gramStart"/>
      <w:r w:rsidRPr="00D77120">
        <w:t>a</w:t>
      </w:r>
      <w:proofErr w:type="gramEnd"/>
      <w:r w:rsidRPr="00D77120">
        <w:t>) Repó ügylet (visszavásárlási megállapodás) során az ügylet tárgyát képező befektetési eszköz E napi értékét az adott eszközre érvényes értékelési elvek alapján E napra számolt piaci értékeként kell meghatározni, és ehhez a repóügyletek során az eladási és visszavásárlási ár közötti árfolyam-különbözet E napig számolt időarányos részét hozzá kell adni.</w:t>
      </w:r>
    </w:p>
    <w:p w:rsidR="0090652B" w:rsidRPr="00D77120" w:rsidRDefault="0090652B" w:rsidP="008A619D">
      <w:pPr>
        <w:spacing w:before="120"/>
        <w:ind w:left="851"/>
      </w:pPr>
      <w:r w:rsidRPr="00D77120">
        <w:t>b) Fordított repó ügylet (fordított visszavásárlási megállapodás) során nem kell a repó tárgyát képező eszköz értékét a portfólió értékébe beszámítani. A vételi és az eladási ár közötti árfolyam-különbözet E napig számolt időarányos részét kell a fordított repó ügylet E napi piaci értékének tekinteni.</w:t>
      </w:r>
    </w:p>
    <w:p w:rsidR="00E56E60" w:rsidRDefault="00282AFC" w:rsidP="008A619D">
      <w:pPr>
        <w:pStyle w:val="Cmsor2"/>
        <w:keepLines w:val="0"/>
        <w:numPr>
          <w:ilvl w:val="0"/>
          <w:numId w:val="32"/>
        </w:numPr>
        <w:rPr>
          <w:u w:val="single"/>
        </w:rPr>
      </w:pPr>
      <w:bookmarkStart w:id="84" w:name="_Toc349832328"/>
      <w:r w:rsidRPr="00D77120">
        <w:rPr>
          <w:u w:val="single"/>
        </w:rPr>
        <w:t xml:space="preserve">Az </w:t>
      </w:r>
      <w:r>
        <w:rPr>
          <w:u w:val="single"/>
        </w:rPr>
        <w:t xml:space="preserve">adott tárgykörre vonatkozó </w:t>
      </w:r>
      <w:r w:rsidR="00E56E60" w:rsidRPr="00D77120">
        <w:rPr>
          <w:u w:val="single"/>
        </w:rPr>
        <w:t>egyéb információk:</w:t>
      </w:r>
      <w:bookmarkEnd w:id="84"/>
    </w:p>
    <w:p w:rsidR="00282AFC" w:rsidRPr="00282AFC" w:rsidRDefault="00282AFC" w:rsidP="00282AFC">
      <w:pPr>
        <w:spacing w:before="120"/>
        <w:ind w:left="425"/>
      </w:pPr>
      <w:r>
        <w:t>Nincs információ</w:t>
      </w:r>
    </w:p>
    <w:p w:rsidR="00E56E60" w:rsidRPr="00D77120" w:rsidRDefault="00E56E60">
      <w:pPr>
        <w:keepLines w:val="0"/>
        <w:spacing w:after="0"/>
        <w:jc w:val="left"/>
        <w:rPr>
          <w:b/>
          <w:caps/>
          <w:kern w:val="28"/>
        </w:rPr>
      </w:pPr>
      <w:r w:rsidRPr="00D77120">
        <w:br w:type="page"/>
      </w:r>
    </w:p>
    <w:p w:rsidR="00E56E60" w:rsidRPr="002E6CC3" w:rsidRDefault="00E56E60" w:rsidP="00E56E60">
      <w:pPr>
        <w:pStyle w:val="Cmsor1"/>
        <w:keepLines w:val="0"/>
        <w:numPr>
          <w:ilvl w:val="0"/>
          <w:numId w:val="31"/>
        </w:numPr>
        <w:rPr>
          <w:rFonts w:ascii="Verdana" w:hAnsi="Verdana"/>
        </w:rPr>
      </w:pPr>
      <w:bookmarkStart w:id="85" w:name="_Toc349832329"/>
      <w:r w:rsidRPr="002E6CC3">
        <w:rPr>
          <w:rFonts w:ascii="Verdana" w:hAnsi="Verdana"/>
        </w:rPr>
        <w:lastRenderedPageBreak/>
        <w:t>A</w:t>
      </w:r>
      <w:r>
        <w:rPr>
          <w:rFonts w:ascii="Verdana" w:hAnsi="Verdana"/>
        </w:rPr>
        <w:t xml:space="preserve"> hozammal kapcsolatos információk</w:t>
      </w:r>
      <w:bookmarkEnd w:id="85"/>
    </w:p>
    <w:p w:rsidR="00E56E60" w:rsidRPr="00D77120" w:rsidRDefault="00E56E60" w:rsidP="008A619D">
      <w:pPr>
        <w:pStyle w:val="Cmsor2"/>
        <w:keepLines w:val="0"/>
        <w:numPr>
          <w:ilvl w:val="0"/>
          <w:numId w:val="32"/>
        </w:numPr>
        <w:rPr>
          <w:u w:val="single"/>
        </w:rPr>
      </w:pPr>
      <w:bookmarkStart w:id="86" w:name="_Toc349832330"/>
      <w:r w:rsidRPr="00D77120">
        <w:rPr>
          <w:u w:val="single"/>
        </w:rPr>
        <w:t>A hozam megállapításának és kifizetésének feltételei és eljárása:</w:t>
      </w:r>
      <w:bookmarkEnd w:id="86"/>
    </w:p>
    <w:p w:rsidR="00511FD1" w:rsidRPr="00D77120" w:rsidRDefault="00E56E60" w:rsidP="008A619D">
      <w:pPr>
        <w:spacing w:before="120"/>
        <w:ind w:left="425"/>
      </w:pPr>
      <w:r w:rsidRPr="00D77120">
        <w:t xml:space="preserve">Az Alap a tőkenövekmény terhére nem fizet hozamot. Befektetéseinek hozamait (osztalék, kamat, árfolyamnyereség) folyamatosan visszaforgatja, azokból újabb befektetéseket hajt végre az Alap befektetési politikájának megfelelően. A befektetési jeggyel rendelkezők kizárólag a jegyek </w:t>
      </w:r>
      <w:r w:rsidR="006C04D1" w:rsidRPr="00D77120">
        <w:t>eladásával, vagy lejáratkor az Alap megszűnésével</w:t>
      </w:r>
      <w:r w:rsidRPr="00D77120">
        <w:t xml:space="preserve"> juthatnak hozzá a tőkenövekményhez.</w:t>
      </w:r>
    </w:p>
    <w:p w:rsidR="00E56E60" w:rsidRPr="00D77120" w:rsidRDefault="00E56E60" w:rsidP="008A619D">
      <w:pPr>
        <w:pStyle w:val="Cmsor2"/>
        <w:keepLines w:val="0"/>
        <w:numPr>
          <w:ilvl w:val="0"/>
          <w:numId w:val="32"/>
        </w:numPr>
        <w:rPr>
          <w:u w:val="single"/>
        </w:rPr>
      </w:pPr>
      <w:bookmarkStart w:id="87" w:name="_Toc349832331"/>
      <w:r w:rsidRPr="00D77120">
        <w:rPr>
          <w:u w:val="single"/>
        </w:rPr>
        <w:t>Hozamfizetési napok:</w:t>
      </w:r>
      <w:bookmarkEnd w:id="87"/>
    </w:p>
    <w:p w:rsidR="00511FD1" w:rsidRPr="00D77120" w:rsidRDefault="00282AFC" w:rsidP="008A619D">
      <w:pPr>
        <w:spacing w:before="120"/>
        <w:ind w:left="425"/>
      </w:pPr>
      <w:r w:rsidRPr="00282AFC">
        <w:t>Nem alkalmazandó</w:t>
      </w:r>
      <w:r w:rsidR="00E56E60" w:rsidRPr="00D77120">
        <w:t>.</w:t>
      </w:r>
    </w:p>
    <w:p w:rsidR="00E56E60" w:rsidRDefault="00282AFC" w:rsidP="008A619D">
      <w:pPr>
        <w:pStyle w:val="Cmsor2"/>
        <w:keepLines w:val="0"/>
        <w:numPr>
          <w:ilvl w:val="0"/>
          <w:numId w:val="32"/>
        </w:numPr>
        <w:rPr>
          <w:u w:val="single"/>
        </w:rPr>
      </w:pPr>
      <w:bookmarkStart w:id="88" w:name="_Toc349832332"/>
      <w:r w:rsidRPr="00591EDF">
        <w:rPr>
          <w:u w:val="single"/>
        </w:rPr>
        <w:t>Az adott tárgykörre vonatkozó egyéb információk</w:t>
      </w:r>
      <w:r w:rsidR="00E56E60" w:rsidRPr="00D77120">
        <w:rPr>
          <w:u w:val="single"/>
        </w:rPr>
        <w:t>:</w:t>
      </w:r>
      <w:bookmarkEnd w:id="88"/>
    </w:p>
    <w:p w:rsidR="00282AFC" w:rsidRPr="00282AFC" w:rsidRDefault="00282AFC" w:rsidP="00282AFC">
      <w:pPr>
        <w:spacing w:before="120"/>
        <w:ind w:left="425"/>
      </w:pPr>
      <w:r>
        <w:t>Nincs információ</w:t>
      </w:r>
    </w:p>
    <w:p w:rsidR="00E56E60" w:rsidRPr="00D77120" w:rsidRDefault="00E56E60">
      <w:pPr>
        <w:keepLines w:val="0"/>
        <w:spacing w:after="0"/>
        <w:jc w:val="left"/>
        <w:rPr>
          <w:b/>
          <w:caps/>
          <w:kern w:val="28"/>
        </w:rPr>
      </w:pPr>
      <w:r w:rsidRPr="00D77120">
        <w:br w:type="page"/>
      </w:r>
    </w:p>
    <w:p w:rsidR="00E56E60" w:rsidRPr="002E6CC3" w:rsidRDefault="00E56E60" w:rsidP="00E56E60">
      <w:pPr>
        <w:pStyle w:val="Cmsor1"/>
        <w:keepLines w:val="0"/>
        <w:numPr>
          <w:ilvl w:val="0"/>
          <w:numId w:val="31"/>
        </w:numPr>
        <w:rPr>
          <w:rFonts w:ascii="Verdana" w:hAnsi="Verdana"/>
        </w:rPr>
      </w:pPr>
      <w:bookmarkStart w:id="89" w:name="_Toc349832333"/>
      <w:r w:rsidRPr="002E6CC3">
        <w:rPr>
          <w:rFonts w:ascii="Verdana" w:hAnsi="Verdana"/>
        </w:rPr>
        <w:lastRenderedPageBreak/>
        <w:t>A</w:t>
      </w:r>
      <w:r>
        <w:rPr>
          <w:rFonts w:ascii="Verdana" w:hAnsi="Verdana"/>
        </w:rPr>
        <w:t xml:space="preserve"> befektetési alap tőkéjének megóvására, illetve </w:t>
      </w:r>
      <w:proofErr w:type="gramStart"/>
      <w:r>
        <w:rPr>
          <w:rFonts w:ascii="Verdana" w:hAnsi="Verdana"/>
        </w:rPr>
        <w:t>a</w:t>
      </w:r>
      <w:proofErr w:type="gramEnd"/>
      <w:r>
        <w:rPr>
          <w:rFonts w:ascii="Verdana" w:hAnsi="Verdana"/>
        </w:rPr>
        <w:t xml:space="preserve"> hozamra vonatkozó ígéret és teljesítésének biztosítása</w:t>
      </w:r>
      <w:bookmarkEnd w:id="89"/>
    </w:p>
    <w:p w:rsidR="00E56E60" w:rsidRDefault="00D77120" w:rsidP="008A619D">
      <w:pPr>
        <w:pStyle w:val="Cmsor2"/>
        <w:keepLines w:val="0"/>
        <w:numPr>
          <w:ilvl w:val="0"/>
          <w:numId w:val="32"/>
        </w:numPr>
        <w:rPr>
          <w:u w:val="single"/>
        </w:rPr>
      </w:pPr>
      <w:r>
        <w:rPr>
          <w:sz w:val="20"/>
          <w:szCs w:val="20"/>
          <w:u w:val="single"/>
        </w:rPr>
        <w:t xml:space="preserve"> </w:t>
      </w:r>
      <w:bookmarkStart w:id="90" w:name="_Toc349832334"/>
      <w:r w:rsidR="00E56E60" w:rsidRPr="00D77120">
        <w:rPr>
          <w:u w:val="single"/>
        </w:rPr>
        <w:t>A tőke megóvására, illetve a hozamra vonatkozó ígéret:</w:t>
      </w:r>
      <w:bookmarkEnd w:id="90"/>
    </w:p>
    <w:p w:rsidR="00282AFC" w:rsidRPr="00282AFC" w:rsidRDefault="00282AFC" w:rsidP="00282AFC">
      <w:pPr>
        <w:spacing w:before="120"/>
        <w:ind w:left="425"/>
      </w:pPr>
      <w:r>
        <w:t>Nem alkalmazandó.</w:t>
      </w:r>
    </w:p>
    <w:p w:rsidR="00537E98" w:rsidRPr="00D77120" w:rsidRDefault="00537E98" w:rsidP="008A619D">
      <w:pPr>
        <w:pStyle w:val="Cmsor2"/>
        <w:keepLines w:val="0"/>
        <w:numPr>
          <w:ilvl w:val="1"/>
          <w:numId w:val="32"/>
        </w:numPr>
      </w:pPr>
      <w:bookmarkStart w:id="91" w:name="_Toc349832335"/>
      <w:r w:rsidRPr="00D77120">
        <w:t>A tőke megóvására, illetve a hozamra vonatkozó ígéret teljesülését biztosító bankgarancia vagy kezesi biztosítás (tőke-, illetve hozamgarancia):</w:t>
      </w:r>
      <w:bookmarkEnd w:id="91"/>
    </w:p>
    <w:p w:rsidR="00537E98" w:rsidRPr="00D77120" w:rsidRDefault="00282AFC" w:rsidP="008A619D">
      <w:pPr>
        <w:spacing w:before="120"/>
        <w:ind w:left="425"/>
      </w:pPr>
      <w:r>
        <w:t>Nem alkalmazandó.</w:t>
      </w:r>
    </w:p>
    <w:p w:rsidR="00537E98" w:rsidRPr="00D77120" w:rsidRDefault="00537E98" w:rsidP="008A619D">
      <w:pPr>
        <w:pStyle w:val="Cmsor2"/>
        <w:keepLines w:val="0"/>
        <w:numPr>
          <w:ilvl w:val="1"/>
          <w:numId w:val="32"/>
        </w:numPr>
      </w:pPr>
      <w:bookmarkStart w:id="92" w:name="_Toc349832336"/>
      <w:r w:rsidRPr="00D77120">
        <w:t>A tőke megóvására, illetve a hozamra vonatkozó ígéretet alátámasztó befektetési politika (tőke-, illetve hozamvédelem):</w:t>
      </w:r>
      <w:bookmarkEnd w:id="92"/>
    </w:p>
    <w:p w:rsidR="00537E98" w:rsidRPr="00D77120" w:rsidRDefault="00282AFC" w:rsidP="008A619D">
      <w:pPr>
        <w:spacing w:before="120"/>
        <w:ind w:left="425"/>
      </w:pPr>
      <w:r>
        <w:t>Nem értelmezhető.</w:t>
      </w:r>
    </w:p>
    <w:p w:rsidR="00537E98" w:rsidRPr="00D77120" w:rsidRDefault="00D77120" w:rsidP="008A619D">
      <w:pPr>
        <w:pStyle w:val="Cmsor2"/>
        <w:keepLines w:val="0"/>
        <w:numPr>
          <w:ilvl w:val="0"/>
          <w:numId w:val="32"/>
        </w:numPr>
        <w:rPr>
          <w:u w:val="single"/>
        </w:rPr>
      </w:pPr>
      <w:r w:rsidRPr="00D77120">
        <w:rPr>
          <w:u w:val="single"/>
        </w:rPr>
        <w:t xml:space="preserve"> </w:t>
      </w:r>
      <w:bookmarkStart w:id="93" w:name="_Toc349832337"/>
      <w:r w:rsidR="00282AFC" w:rsidRPr="00591EDF">
        <w:rPr>
          <w:u w:val="single"/>
        </w:rPr>
        <w:t>Az adott tárgykörre vonatkozó egyéb információk</w:t>
      </w:r>
      <w:r w:rsidR="00537E98" w:rsidRPr="00D77120">
        <w:rPr>
          <w:u w:val="single"/>
        </w:rPr>
        <w:t>:</w:t>
      </w:r>
      <w:bookmarkEnd w:id="93"/>
    </w:p>
    <w:p w:rsidR="00740769" w:rsidRPr="00D77120" w:rsidRDefault="00282AFC" w:rsidP="008A619D">
      <w:pPr>
        <w:spacing w:before="120"/>
        <w:ind w:left="425"/>
      </w:pPr>
      <w:r>
        <w:t>Nincs információ</w:t>
      </w:r>
      <w:r w:rsidR="00537E98" w:rsidRPr="00D77120">
        <w:t>.</w:t>
      </w:r>
    </w:p>
    <w:p w:rsidR="00793A15" w:rsidRPr="00D77120" w:rsidRDefault="00793A15">
      <w:pPr>
        <w:keepLines w:val="0"/>
        <w:spacing w:after="0"/>
        <w:jc w:val="left"/>
        <w:rPr>
          <w:b/>
          <w:caps/>
          <w:kern w:val="28"/>
        </w:rPr>
      </w:pPr>
      <w:r w:rsidRPr="00D77120">
        <w:br w:type="page"/>
      </w:r>
    </w:p>
    <w:p w:rsidR="00537E98" w:rsidRPr="002E6CC3" w:rsidRDefault="00537E98" w:rsidP="00537E98">
      <w:pPr>
        <w:pStyle w:val="Cmsor1"/>
        <w:keepLines w:val="0"/>
        <w:numPr>
          <w:ilvl w:val="0"/>
          <w:numId w:val="31"/>
        </w:numPr>
        <w:rPr>
          <w:rFonts w:ascii="Verdana" w:hAnsi="Verdana"/>
        </w:rPr>
      </w:pPr>
      <w:bookmarkStart w:id="94" w:name="_Toc349832338"/>
      <w:r>
        <w:rPr>
          <w:rFonts w:ascii="Verdana" w:hAnsi="Verdana"/>
        </w:rPr>
        <w:lastRenderedPageBreak/>
        <w:t xml:space="preserve">Díjak </w:t>
      </w:r>
      <w:proofErr w:type="gramStart"/>
      <w:r w:rsidR="004A3EBA">
        <w:rPr>
          <w:rFonts w:ascii="Verdana" w:hAnsi="Verdana"/>
        </w:rPr>
        <w:t>és</w:t>
      </w:r>
      <w:proofErr w:type="gramEnd"/>
      <w:r>
        <w:rPr>
          <w:rFonts w:ascii="Verdana" w:hAnsi="Verdana"/>
        </w:rPr>
        <w:t xml:space="preserve"> költségek</w:t>
      </w:r>
      <w:bookmarkEnd w:id="94"/>
    </w:p>
    <w:p w:rsidR="0022436E" w:rsidRPr="00D77120" w:rsidRDefault="0022436E" w:rsidP="008A619D">
      <w:pPr>
        <w:pStyle w:val="Cmsor2"/>
        <w:keepLines w:val="0"/>
        <w:numPr>
          <w:ilvl w:val="0"/>
          <w:numId w:val="32"/>
        </w:numPr>
        <w:rPr>
          <w:u w:val="single"/>
        </w:rPr>
      </w:pPr>
      <w:bookmarkStart w:id="95" w:name="_Toc349832339"/>
      <w:r w:rsidRPr="00D77120">
        <w:rPr>
          <w:u w:val="single"/>
        </w:rPr>
        <w:t>A befektetési alapot terhelő díjak, költségek mértéke és az alapra terhelésük módja</w:t>
      </w:r>
      <w:bookmarkEnd w:id="95"/>
    </w:p>
    <w:p w:rsidR="005A78C1" w:rsidRPr="00D77120" w:rsidRDefault="005A78C1" w:rsidP="008A619D">
      <w:pPr>
        <w:spacing w:before="120"/>
        <w:ind w:left="425"/>
      </w:pPr>
      <w:r w:rsidRPr="00D77120">
        <w:t>Az Alapkezelő bármely költségelemet egyoldalúan módosíthatja, mely módosításhoz a Batv. 52.§ (</w:t>
      </w:r>
      <w:r w:rsidR="00282AFC">
        <w:t>4</w:t>
      </w:r>
      <w:r w:rsidRPr="00D77120">
        <w:t>) bekezdés a) pontjának kivételével a Felügyelet engedélye szükséges.</w:t>
      </w:r>
    </w:p>
    <w:p w:rsidR="00537E98" w:rsidRPr="00D77120" w:rsidRDefault="0022436E" w:rsidP="008A619D">
      <w:pPr>
        <w:pStyle w:val="Cmsor2"/>
        <w:keepLines w:val="0"/>
        <w:numPr>
          <w:ilvl w:val="1"/>
          <w:numId w:val="32"/>
        </w:numPr>
      </w:pPr>
      <w:bookmarkStart w:id="96" w:name="_Toc349832340"/>
      <w:r w:rsidRPr="00D77120">
        <w:t>A befektetési alap által az alapkezelő társaság részére fizetendő díjak, költségek összege, kiszámításának leírása, az alapra terhelésük és kiegyenlítésük módja</w:t>
      </w:r>
      <w:r w:rsidR="00537E98" w:rsidRPr="00D77120">
        <w:t>:</w:t>
      </w:r>
      <w:bookmarkEnd w:id="96"/>
    </w:p>
    <w:p w:rsidR="005A78C1" w:rsidRPr="003960E2" w:rsidRDefault="005A78C1" w:rsidP="008A619D">
      <w:pPr>
        <w:spacing w:before="120"/>
        <w:ind w:left="425"/>
      </w:pPr>
      <w:r w:rsidRPr="003960E2">
        <w:rPr>
          <w:i/>
        </w:rPr>
        <w:t>Alapkezelési díj</w:t>
      </w:r>
      <w:r w:rsidRPr="003960E2">
        <w:t xml:space="preserve">: az Alapkezelő szolgáltatásainak díja. </w:t>
      </w:r>
      <w:r w:rsidR="00B637D7" w:rsidRPr="00B637D7">
        <w:t>Az Alapkezelési díj az adott negyedéves időperiódusban az átlagos nettó eszközértékére vetítve kerül kiszámításra és elhatárolásra, kifizetése az adott negyedévet követő 15 napon belül esedékes</w:t>
      </w:r>
      <w:r w:rsidR="00B637D7">
        <w:t xml:space="preserve">. </w:t>
      </w:r>
      <w:r w:rsidR="00B637D7" w:rsidRPr="00036B87">
        <w:t>Az Alapkezelési díj mértéke évente legfeljebb 1%.</w:t>
      </w:r>
    </w:p>
    <w:p w:rsidR="005A78C1" w:rsidRPr="003960E2" w:rsidRDefault="005A78C1" w:rsidP="008A619D">
      <w:pPr>
        <w:spacing w:before="120"/>
        <w:ind w:left="425"/>
      </w:pPr>
      <w:r w:rsidRPr="003960E2">
        <w:rPr>
          <w:i/>
        </w:rPr>
        <w:t>Sikerdíj</w:t>
      </w:r>
      <w:r w:rsidRPr="003960E2">
        <w:t>: az Alapkezelőt esetlegesen megillető díj, amennyiben a fut</w:t>
      </w:r>
      <w:r w:rsidR="004A3EBA" w:rsidRPr="003960E2">
        <w:t>amidő végén az Alap a benchmark</w:t>
      </w:r>
      <w:r w:rsidRPr="003960E2">
        <w:t xml:space="preserve">nál magasabb hozamot ér el. </w:t>
      </w:r>
      <w:r w:rsidR="003960E2" w:rsidRPr="003960E2">
        <w:t>Nincs.</w:t>
      </w:r>
    </w:p>
    <w:p w:rsidR="005A78C1" w:rsidRPr="003960E2" w:rsidRDefault="0022436E" w:rsidP="008A619D">
      <w:pPr>
        <w:pStyle w:val="Cmsor2"/>
        <w:keepLines w:val="0"/>
        <w:numPr>
          <w:ilvl w:val="1"/>
          <w:numId w:val="32"/>
        </w:numPr>
      </w:pPr>
      <w:bookmarkStart w:id="97" w:name="_Toc349832341"/>
      <w:r w:rsidRPr="003960E2">
        <w:t>Amennyiben azt a befektetési alap közvetlenül fizeti, a befektetési alap által a letétkezelő részére fizetendő díjak, költségek összege, kiszámításának leírása, az alapra terhelésük és kiegyenlítésük módja:</w:t>
      </w:r>
      <w:bookmarkEnd w:id="97"/>
    </w:p>
    <w:p w:rsidR="005A78C1" w:rsidRPr="00D77120" w:rsidRDefault="005A78C1" w:rsidP="008A619D">
      <w:pPr>
        <w:spacing w:before="120"/>
        <w:ind w:left="425"/>
      </w:pPr>
      <w:r w:rsidRPr="003960E2">
        <w:rPr>
          <w:i/>
        </w:rPr>
        <w:t>Letétkezelési díj</w:t>
      </w:r>
      <w:r w:rsidRPr="003960E2">
        <w:t xml:space="preserve">: a Letétkezelő szolgáltatásainak díja. A letétkezelési díj az adott negyedéves időperiódusban </w:t>
      </w:r>
      <w:r w:rsidR="003960E2" w:rsidRPr="003960E2">
        <w:t>az átlagos nettó eszközértékre</w:t>
      </w:r>
      <w:r w:rsidRPr="003960E2">
        <w:t xml:space="preserve"> vetítve kerül kiszámításra és elhatárolásra, kifizetése az adott negyedévet követő 15 napon belül esedékes. A Letétkezelési díj mértéke </w:t>
      </w:r>
      <w:r w:rsidR="003960E2">
        <w:t xml:space="preserve">évente </w:t>
      </w:r>
      <w:r w:rsidRPr="00253796">
        <w:t xml:space="preserve">legfeljebb </w:t>
      </w:r>
      <w:r w:rsidR="003960E2" w:rsidRPr="00253796">
        <w:t>0,</w:t>
      </w:r>
      <w:r w:rsidR="00253796" w:rsidRPr="00253796">
        <w:t>4</w:t>
      </w:r>
      <w:r w:rsidR="003960E2" w:rsidRPr="00253796">
        <w:t>%</w:t>
      </w:r>
      <w:r w:rsidRPr="00253796">
        <w:t>.</w:t>
      </w:r>
    </w:p>
    <w:p w:rsidR="0022436E" w:rsidRPr="00D77120" w:rsidRDefault="0022436E" w:rsidP="008A619D">
      <w:pPr>
        <w:pStyle w:val="Cmsor2"/>
        <w:keepLines w:val="0"/>
        <w:numPr>
          <w:ilvl w:val="1"/>
          <w:numId w:val="32"/>
        </w:numPr>
      </w:pPr>
      <w:bookmarkStart w:id="98" w:name="_Toc349832342"/>
      <w:r w:rsidRPr="00D77120">
        <w:t>Amennyiben azt a befektetési alap közvetlenül fizeti, a befektetési alap által egyéb felek, harmadik személyek részére fizetendő díjak, költségek összege, kiszámításának leírása, az alapra terhelésük és kiegyenlítésük módja:</w:t>
      </w:r>
      <w:bookmarkEnd w:id="98"/>
    </w:p>
    <w:p w:rsidR="005A78C1" w:rsidRPr="003960E2" w:rsidRDefault="005A78C1" w:rsidP="008A619D">
      <w:pPr>
        <w:spacing w:before="120"/>
        <w:ind w:left="425"/>
      </w:pPr>
      <w:r w:rsidRPr="003960E2">
        <w:rPr>
          <w:i/>
        </w:rPr>
        <w:t>Forgalmazási (állományi) díj</w:t>
      </w:r>
      <w:r w:rsidRPr="003960E2">
        <w:t xml:space="preserve">: a Vezető Forgalmazó és a Forgalmazók szolgáltatásainak díja, mértéke az Alapkezelő és a Vezető Forgalmazó, illetve a Forgalmazók között kötött egyedi forgalmazási szerződésekben kerül meghatározására. A Forgalmazási díj az Alapkezelési díjjal együtt az adott negyedéves időperiódusban </w:t>
      </w:r>
      <w:r w:rsidR="003960E2" w:rsidRPr="003960E2">
        <w:t xml:space="preserve">az átlagos nettó eszközértékre vetítve </w:t>
      </w:r>
      <w:r w:rsidRPr="003960E2">
        <w:t xml:space="preserve">kerül kiszámításra és elhatárolásra, kifizetése az adott negyedévet követő 15 napon belül esedékes. A Forgalmazási </w:t>
      </w:r>
      <w:r w:rsidR="003C4DAD" w:rsidRPr="003960E2">
        <w:t xml:space="preserve">(állományi) </w:t>
      </w:r>
      <w:r w:rsidRPr="003960E2">
        <w:t xml:space="preserve">díj </w:t>
      </w:r>
      <w:r w:rsidR="003960E2" w:rsidRPr="003960E2">
        <w:t>mértéke</w:t>
      </w:r>
      <w:r w:rsidR="003C4DAD" w:rsidRPr="003960E2">
        <w:t xml:space="preserve"> évente </w:t>
      </w:r>
      <w:r w:rsidR="003960E2" w:rsidRPr="00307CD1">
        <w:t xml:space="preserve">legfeljebb </w:t>
      </w:r>
      <w:r w:rsidR="003C4DAD" w:rsidRPr="00307CD1">
        <w:t>1%.</w:t>
      </w:r>
    </w:p>
    <w:p w:rsidR="00FA098C" w:rsidRPr="003960E2" w:rsidRDefault="00FA098C" w:rsidP="008A619D">
      <w:pPr>
        <w:spacing w:before="120"/>
        <w:ind w:left="425"/>
      </w:pPr>
      <w:r w:rsidRPr="003960E2">
        <w:t xml:space="preserve">A </w:t>
      </w:r>
      <w:r w:rsidRPr="003960E2">
        <w:rPr>
          <w:i/>
        </w:rPr>
        <w:t>könyvelő díja</w:t>
      </w:r>
      <w:r w:rsidRPr="003960E2">
        <w:t xml:space="preserve"> (minden évben a piaci viszonyoknak megfelelően meghatározva). A Kezelési Szabályzat jóváhagyásának időpontjában évente maximum </w:t>
      </w:r>
      <w:smartTag w:uri="urn:schemas-microsoft-com:office:smarttags" w:element="metricconverter">
        <w:smartTagPr>
          <w:attr w:name="ProductID" w:val="1.000.000 Ft"/>
        </w:smartTagPr>
        <w:r w:rsidRPr="003960E2">
          <w:t>1.000.000 Ft</w:t>
        </w:r>
      </w:smartTag>
      <w:r w:rsidRPr="003960E2">
        <w:t xml:space="preserve"> + áfa.</w:t>
      </w:r>
    </w:p>
    <w:p w:rsidR="00FA098C" w:rsidRPr="003960E2" w:rsidRDefault="00FA098C" w:rsidP="008A619D">
      <w:pPr>
        <w:spacing w:before="120"/>
        <w:ind w:left="425"/>
      </w:pPr>
      <w:r w:rsidRPr="003960E2">
        <w:t xml:space="preserve">A </w:t>
      </w:r>
      <w:r w:rsidRPr="003960E2">
        <w:rPr>
          <w:i/>
        </w:rPr>
        <w:t>könyvvizsgáló díja</w:t>
      </w:r>
      <w:r w:rsidRPr="003960E2">
        <w:t xml:space="preserve"> (minden évben a piaci viszonyoknak megfelelően meghatározva). A Kezelési Szabályzat jóváhagyásának időpontjában évente maximum </w:t>
      </w:r>
      <w:smartTag w:uri="urn:schemas-microsoft-com:office:smarttags" w:element="metricconverter">
        <w:smartTagPr>
          <w:attr w:name="ProductID" w:val="1.000.000 Ft"/>
        </w:smartTagPr>
        <w:r w:rsidRPr="003960E2">
          <w:t>1.000.000 Ft</w:t>
        </w:r>
      </w:smartTag>
      <w:r w:rsidRPr="003960E2">
        <w:t xml:space="preserve"> + áfa.</w:t>
      </w:r>
    </w:p>
    <w:p w:rsidR="00FA098C" w:rsidRDefault="00A808B4" w:rsidP="008A619D">
      <w:pPr>
        <w:spacing w:before="120"/>
        <w:ind w:left="425"/>
      </w:pPr>
      <w:r w:rsidRPr="003960E2">
        <w:rPr>
          <w:i/>
        </w:rPr>
        <w:t>PSZÁF-díj</w:t>
      </w:r>
      <w:r w:rsidRPr="003960E2">
        <w:t>: Alap működésével kapcsolatos Felügyeleti díjak, amelyek értéke a mindenkori törvényi e</w:t>
      </w:r>
      <w:r w:rsidR="00BD5E32" w:rsidRPr="003960E2">
        <w:t>lőírásoknak megfelelően alakul. A Kezelési Szabályzat legutolsó módosításának időpontjában a díj éves mértéke az éves átlagos nettó eszközérték 0,25 ezreléke.</w:t>
      </w:r>
    </w:p>
    <w:p w:rsidR="0022436E" w:rsidRPr="00D77120" w:rsidRDefault="0022436E" w:rsidP="008A619D">
      <w:pPr>
        <w:pStyle w:val="Cmsor2"/>
        <w:keepLines w:val="0"/>
        <w:numPr>
          <w:ilvl w:val="0"/>
          <w:numId w:val="32"/>
        </w:numPr>
        <w:rPr>
          <w:u w:val="single"/>
        </w:rPr>
      </w:pPr>
      <w:bookmarkStart w:id="99" w:name="_Toc349832343"/>
      <w:r w:rsidRPr="00D77120">
        <w:rPr>
          <w:u w:val="single"/>
        </w:rPr>
        <w:t>A befektetési alapot és a befektetőket terhelő egyéb lehetséges költségek vagy díjak, kivéve a 36. pontban említett költségeket:</w:t>
      </w:r>
      <w:bookmarkEnd w:id="99"/>
    </w:p>
    <w:p w:rsidR="00A808B4" w:rsidRPr="00D77120" w:rsidRDefault="00A808B4" w:rsidP="008A619D">
      <w:pPr>
        <w:spacing w:before="120"/>
        <w:ind w:left="425"/>
      </w:pPr>
      <w:r w:rsidRPr="00D77120">
        <w:t>Alap létrehozásával kapcsolatos Felügyeleti díjak.</w:t>
      </w:r>
    </w:p>
    <w:p w:rsidR="00A808B4" w:rsidRPr="00D77120" w:rsidRDefault="00A808B4" w:rsidP="008A619D">
      <w:pPr>
        <w:spacing w:before="120"/>
        <w:ind w:left="425"/>
      </w:pPr>
      <w:r w:rsidRPr="00D77120">
        <w:t>Értékpapír-forgalmazási és tranzakciós díjak és banki költségek.</w:t>
      </w:r>
    </w:p>
    <w:p w:rsidR="00A808B4" w:rsidRPr="00D77120" w:rsidRDefault="00A808B4" w:rsidP="008A619D">
      <w:pPr>
        <w:spacing w:before="120"/>
        <w:ind w:left="425"/>
      </w:pPr>
      <w:r w:rsidRPr="00D77120">
        <w:t>KELER Zrt. díjai.</w:t>
      </w:r>
    </w:p>
    <w:p w:rsidR="00A808B4" w:rsidRPr="00D77120" w:rsidRDefault="00A808B4" w:rsidP="008A619D">
      <w:pPr>
        <w:spacing w:before="120"/>
        <w:ind w:left="425"/>
      </w:pPr>
      <w:r w:rsidRPr="00D77120">
        <w:t>Tájékoztatás költségei (éves és féléves jelentések, havi portfóliójelentések költségei, rendkívüli tájékoztatás költségei, közzétételi díjak, marketing költségek, stb.).</w:t>
      </w:r>
    </w:p>
    <w:p w:rsidR="00A808B4" w:rsidRDefault="00A808B4" w:rsidP="008A619D">
      <w:pPr>
        <w:spacing w:before="120"/>
        <w:ind w:left="425"/>
      </w:pPr>
      <w:r w:rsidRPr="00D77120">
        <w:t>Egyéb működési költségek (postaköltség, esetleges jogi, illetve egyéb államigazgatási eljárások költségei, az Alap átalakításával kapcsolatos költségek stb.).</w:t>
      </w:r>
    </w:p>
    <w:p w:rsidR="008636FE" w:rsidRPr="00D77120" w:rsidRDefault="008636FE" w:rsidP="008A619D">
      <w:pPr>
        <w:spacing w:before="120"/>
        <w:ind w:left="425"/>
      </w:pPr>
      <w:r>
        <w:t>Az értékpapírszámla vezetésével kapcsolatos díjak, melyek mértéke a forgalmazóval kötött szerződés függvénye (</w:t>
      </w:r>
      <w:r w:rsidRPr="001342FA">
        <w:t>a befektetési jegyek vétel</w:t>
      </w:r>
      <w:r>
        <w:t>i, és visszaváltási jutaléka</w:t>
      </w:r>
      <w:r w:rsidRPr="00594374">
        <w:t xml:space="preserve">, </w:t>
      </w:r>
      <w:r>
        <w:t xml:space="preserve">az </w:t>
      </w:r>
      <w:r w:rsidRPr="00594374">
        <w:t>értékpapírszámla vezetésével kapcsolatos díjak és jutalékok, értékpapír transzfer díja, átutalási díj, készpénzfelvételi dí</w:t>
      </w:r>
      <w:r>
        <w:t>j, stb.</w:t>
      </w:r>
      <w:r w:rsidRPr="00594374">
        <w:t>)</w:t>
      </w:r>
    </w:p>
    <w:p w:rsidR="0022436E" w:rsidRPr="00D77120" w:rsidRDefault="0022436E" w:rsidP="008A619D">
      <w:pPr>
        <w:pStyle w:val="Cmsor2"/>
        <w:keepLines w:val="0"/>
        <w:numPr>
          <w:ilvl w:val="0"/>
          <w:numId w:val="32"/>
        </w:numPr>
        <w:rPr>
          <w:u w:val="single"/>
        </w:rPr>
      </w:pPr>
      <w:bookmarkStart w:id="100" w:name="_Toc349832344"/>
      <w:r w:rsidRPr="00D77120">
        <w:rPr>
          <w:u w:val="single"/>
        </w:rPr>
        <w:t>Ha a befektetési alap eszközeinek legalább 20 százalékát más kollektív befektetési formákba fekteti, a befektetési célként szereplő egyéb kollektív befektetési formákat terhelő alapkezelési díjak legmagasabb mérték e:</w:t>
      </w:r>
      <w:bookmarkEnd w:id="100"/>
    </w:p>
    <w:p w:rsidR="00A808B4" w:rsidRPr="00D77120" w:rsidRDefault="00282AFC" w:rsidP="008A619D">
      <w:pPr>
        <w:spacing w:before="120"/>
        <w:ind w:left="425"/>
      </w:pPr>
      <w:r w:rsidRPr="00282AFC">
        <w:t>Az Alap által vásárolható kollektív befektetési formák közül a legmagasabb alapkezelési díja a Concorde Pénzpiaci Befektetési Alapnak van, amely évente maximum 5% (alapkezelési és forgalmazási díj)</w:t>
      </w:r>
      <w:r w:rsidR="00A808B4" w:rsidRPr="00D77120">
        <w:t>.</w:t>
      </w:r>
    </w:p>
    <w:p w:rsidR="0022436E" w:rsidRPr="00D77120" w:rsidRDefault="0022436E" w:rsidP="008A619D">
      <w:pPr>
        <w:pStyle w:val="Cmsor2"/>
        <w:keepLines w:val="0"/>
        <w:numPr>
          <w:ilvl w:val="0"/>
          <w:numId w:val="32"/>
        </w:numPr>
        <w:rPr>
          <w:u w:val="single"/>
        </w:rPr>
      </w:pPr>
      <w:bookmarkStart w:id="101" w:name="_Toc349832345"/>
      <w:r w:rsidRPr="00D77120">
        <w:rPr>
          <w:u w:val="single"/>
        </w:rPr>
        <w:lastRenderedPageBreak/>
        <w:t>A részalapok közötti váltás feltételei és költségei:</w:t>
      </w:r>
      <w:bookmarkEnd w:id="101"/>
    </w:p>
    <w:p w:rsidR="00793A15" w:rsidRPr="00D77120" w:rsidRDefault="00282AFC" w:rsidP="008A619D">
      <w:pPr>
        <w:spacing w:before="120"/>
        <w:ind w:left="425"/>
      </w:pPr>
      <w:r w:rsidRPr="00282AFC">
        <w:t>Nem alkalmazandó</w:t>
      </w:r>
      <w:r w:rsidR="00793A15" w:rsidRPr="00D77120">
        <w:t>.</w:t>
      </w:r>
    </w:p>
    <w:p w:rsidR="0022436E" w:rsidRPr="00D77120" w:rsidRDefault="00282AFC" w:rsidP="008A619D">
      <w:pPr>
        <w:pStyle w:val="Cmsor2"/>
        <w:keepLines w:val="0"/>
        <w:numPr>
          <w:ilvl w:val="0"/>
          <w:numId w:val="32"/>
        </w:numPr>
        <w:rPr>
          <w:u w:val="single"/>
        </w:rPr>
      </w:pPr>
      <w:bookmarkStart w:id="102" w:name="_Toc349832346"/>
      <w:r>
        <w:rPr>
          <w:u w:val="single"/>
        </w:rPr>
        <w:t>Az adott tárgykörre vonatkozó</w:t>
      </w:r>
      <w:r w:rsidRPr="00D77120">
        <w:rPr>
          <w:u w:val="single"/>
        </w:rPr>
        <w:t xml:space="preserve"> </w:t>
      </w:r>
      <w:r>
        <w:rPr>
          <w:u w:val="single"/>
        </w:rPr>
        <w:t>e</w:t>
      </w:r>
      <w:r w:rsidR="0022436E" w:rsidRPr="00D77120">
        <w:rPr>
          <w:u w:val="single"/>
        </w:rPr>
        <w:t>gyéb információk:</w:t>
      </w:r>
      <w:bookmarkEnd w:id="102"/>
    </w:p>
    <w:p w:rsidR="00BD5E32" w:rsidRPr="00D77120" w:rsidRDefault="00BD5E32" w:rsidP="008A619D">
      <w:pPr>
        <w:spacing w:before="120"/>
        <w:ind w:left="425"/>
      </w:pPr>
      <w:r w:rsidRPr="00D77120">
        <w:t>Az Alapkezelő dönthet úgy, hogy a fenti költségeket – amennyiben azok előre jól kalkulálhatók – a befektetők érdekében naponta elhatárolja.</w:t>
      </w:r>
    </w:p>
    <w:p w:rsidR="00BD5E32" w:rsidRPr="00D77120" w:rsidRDefault="00BD5E32" w:rsidP="008A619D">
      <w:pPr>
        <w:spacing w:before="120"/>
        <w:ind w:left="425"/>
      </w:pPr>
      <w:r w:rsidRPr="00D77120">
        <w:t>Az Alapot terhelő költségek a féléves, valamint az éves jelentésekben tételesen felsorolásra kerülnek.</w:t>
      </w:r>
    </w:p>
    <w:p w:rsidR="00BD5E32" w:rsidRPr="00D77120" w:rsidRDefault="00BD5E32" w:rsidP="008A619D">
      <w:pPr>
        <w:spacing w:before="120"/>
        <w:ind w:left="425"/>
      </w:pPr>
      <w:r w:rsidRPr="00D77120">
        <w:t>Az Alapkezelő az alapkezelési díjat nem terhelheti az Alapra, ha annak átlagos saját tőkéje legalább három hónapon keresztül nem érte el az indulásakor érvényes törvényi minimum ötven százalékát, mindaddig, ameddig az utolsó három hónapra számított átlagos saját tőke ismételten el nem éri az indulásakor érvényes törvényi minimum ötven százalékát. A mentes időszakban felmerülő alapkezelési díj utólagosan sem terhelhetők az Alapra.</w:t>
      </w:r>
    </w:p>
    <w:p w:rsidR="0022436E" w:rsidRPr="006A40E9" w:rsidRDefault="0022436E">
      <w:pPr>
        <w:keepLines w:val="0"/>
        <w:spacing w:after="0"/>
        <w:jc w:val="left"/>
        <w:rPr>
          <w:b/>
          <w:caps/>
          <w:kern w:val="28"/>
          <w:sz w:val="20"/>
          <w:szCs w:val="20"/>
        </w:rPr>
      </w:pPr>
      <w:r w:rsidRPr="006A40E9">
        <w:rPr>
          <w:sz w:val="20"/>
          <w:szCs w:val="20"/>
        </w:rPr>
        <w:br w:type="page"/>
      </w:r>
    </w:p>
    <w:p w:rsidR="0022436E" w:rsidRPr="002E6CC3" w:rsidRDefault="0022436E" w:rsidP="0022436E">
      <w:pPr>
        <w:pStyle w:val="Cmsor1"/>
        <w:keepLines w:val="0"/>
        <w:numPr>
          <w:ilvl w:val="0"/>
          <w:numId w:val="31"/>
        </w:numPr>
        <w:rPr>
          <w:rFonts w:ascii="Verdana" w:hAnsi="Verdana"/>
        </w:rPr>
      </w:pPr>
      <w:bookmarkStart w:id="103" w:name="_Toc349832347"/>
      <w:r w:rsidRPr="0022436E">
        <w:rPr>
          <w:rFonts w:ascii="Verdana" w:hAnsi="Verdana"/>
        </w:rPr>
        <w:lastRenderedPageBreak/>
        <w:t>A befektetési jegyek folyamatos forgalmazása</w:t>
      </w:r>
      <w:bookmarkEnd w:id="103"/>
    </w:p>
    <w:p w:rsidR="0022436E" w:rsidRPr="00D77120" w:rsidRDefault="00D77120" w:rsidP="008A619D">
      <w:pPr>
        <w:pStyle w:val="Cmsor2"/>
        <w:keepLines w:val="0"/>
        <w:numPr>
          <w:ilvl w:val="0"/>
          <w:numId w:val="32"/>
        </w:numPr>
        <w:rPr>
          <w:u w:val="single"/>
        </w:rPr>
      </w:pPr>
      <w:r>
        <w:rPr>
          <w:sz w:val="20"/>
          <w:szCs w:val="20"/>
          <w:u w:val="single"/>
        </w:rPr>
        <w:t xml:space="preserve"> </w:t>
      </w:r>
      <w:bookmarkStart w:id="104" w:name="_Toc349832348"/>
      <w:r w:rsidR="0022436E" w:rsidRPr="00D77120">
        <w:rPr>
          <w:u w:val="single"/>
        </w:rPr>
        <w:t>A befektetési jegyek vétele:</w:t>
      </w:r>
      <w:bookmarkEnd w:id="104"/>
    </w:p>
    <w:p w:rsidR="0022436E" w:rsidRPr="00D77120" w:rsidRDefault="0022436E" w:rsidP="008A619D">
      <w:pPr>
        <w:pStyle w:val="Cmsor2"/>
        <w:keepLines w:val="0"/>
        <w:numPr>
          <w:ilvl w:val="1"/>
          <w:numId w:val="32"/>
        </w:numPr>
      </w:pPr>
      <w:bookmarkStart w:id="105" w:name="_Toc349832349"/>
      <w:r w:rsidRPr="00D77120">
        <w:t>A vételi megbízások felvétele, elszámolása, teljesítése, felvételének napon belüli határideje:</w:t>
      </w:r>
      <w:bookmarkEnd w:id="105"/>
    </w:p>
    <w:p w:rsidR="00305F02" w:rsidRPr="00AA3D09" w:rsidRDefault="00305F02" w:rsidP="00305F02">
      <w:pPr>
        <w:spacing w:before="120"/>
        <w:ind w:left="425"/>
      </w:pPr>
      <w:r w:rsidRPr="00AA3D09">
        <w:t>A folyamatos forgalmazás időszakában a Befektetési Jegyek befektető által történő megvételének módja:</w:t>
      </w:r>
    </w:p>
    <w:p w:rsidR="00305F02" w:rsidRPr="00AA3D09" w:rsidRDefault="00305F02" w:rsidP="00305F02">
      <w:pPr>
        <w:pStyle w:val="Listaszerbekezds"/>
        <w:numPr>
          <w:ilvl w:val="1"/>
          <w:numId w:val="45"/>
        </w:numPr>
        <w:spacing w:before="120"/>
        <w:ind w:left="993"/>
      </w:pPr>
      <w:r w:rsidRPr="00AA3D09">
        <w:t>a Forgalmazóval megkötött dematerializált értékpapírok nyilvántartására alkalmas értékpapírszámla vezetését magában foglaló - értékpapír-számlaszerződés,</w:t>
      </w:r>
    </w:p>
    <w:p w:rsidR="00305F02" w:rsidRPr="00AA3D09" w:rsidRDefault="00305F02" w:rsidP="00305F02">
      <w:pPr>
        <w:pStyle w:val="Listaszerbekezds"/>
        <w:numPr>
          <w:ilvl w:val="1"/>
          <w:numId w:val="45"/>
        </w:numPr>
        <w:spacing w:before="120"/>
        <w:ind w:left="993"/>
      </w:pPr>
      <w:r w:rsidRPr="00AA3D09">
        <w:t>a Befektetési Jegyek ügyfél által történő vételére vonatkozó megbízásnak a Forgalmazóhoz való eljuttatása</w:t>
      </w:r>
    </w:p>
    <w:p w:rsidR="00305F02" w:rsidRPr="00AA3D09" w:rsidRDefault="00305F02" w:rsidP="00305F02">
      <w:pPr>
        <w:pStyle w:val="Listaszerbekezds"/>
        <w:numPr>
          <w:ilvl w:val="1"/>
          <w:numId w:val="45"/>
        </w:numPr>
        <w:spacing w:before="120"/>
        <w:ind w:left="993"/>
      </w:pPr>
      <w:r w:rsidRPr="00AA3D09">
        <w:t>a vételárnak a Forgalmazónál történő befizetése, illetve odautalása.</w:t>
      </w:r>
    </w:p>
    <w:p w:rsidR="00305F02" w:rsidRDefault="00305F02" w:rsidP="00305F02">
      <w:pPr>
        <w:spacing w:before="120"/>
        <w:ind w:left="425"/>
      </w:pPr>
      <w:r>
        <w:t>A befektető részéről érkező vételi megbízást a Vezető Forgalmazó, illetve a Forgalmazók a beérkezés napját (T) követő harmadik banki munkanapon (T+3) (a továbbiakban Eladásteljesítési nap) teljesítik, az Eladásteljesítési napon a hivatalos közzétételi helyeken megjelenő, a megbízás beérkezésének napjával (T) dátumozott egy Befektetési Jegyre jutó nettó eszközértéknek megfelelő áron. Amennyiben a megbízás Vezető Forgalmazóhoz, illetve Forgalmazókhoz történő beérkezésének napja nem banki munkanap vagy a megbízás a Vezető Forgalmazóhoz, illetve a Forgalmazókhoz az aznapi forgalmazási órákat követően érkezik meg, akkor a Vezető Forgalmazó, illetve a Forgalmazók a megbízást az eredeti beérkezés napját követő első banki munkanapon veszik fel és a továbbiakban ezt tekintik a megbízás beérkezése napjának (T).</w:t>
      </w:r>
    </w:p>
    <w:p w:rsidR="00EF17F5" w:rsidRPr="00D77120" w:rsidRDefault="00305F02" w:rsidP="00305F02">
      <w:pPr>
        <w:spacing w:before="120"/>
        <w:ind w:left="425"/>
      </w:pPr>
      <w:r>
        <w:t>A Befektetési Jegyek értékesítése során az Alapkezelőnek az ügylet értékének az Alap Vezető Forgalmazónál vezetett számláján történő jóváírását követően keletkezik kötelezettsége. Az Alapkezelő folyamatos forgalmazással kapcsolatos felelőssége – kizárólag ezt követően – a Befektetési Jegyek keletkeztetésére és a Vezető Forgalmazóhoz történő transzferálására terjed ki. A Vezető Forgalmazó, illetve a Forgalmazók az ügyfél részéről érkező vételi megbízást a Befektetési Jegyeknek – az Alapkezelő (vagy megbízottja) utasítása alapján a KELER Zrt. által történt keletkeztetését és transzferálását követően – az ügyfél értékpapír- vagy tőkeszámláján történő jóváírásával teljesítik.</w:t>
      </w:r>
    </w:p>
    <w:p w:rsidR="0022436E" w:rsidRPr="00D77120" w:rsidRDefault="0022436E" w:rsidP="008A619D">
      <w:pPr>
        <w:pStyle w:val="Cmsor2"/>
        <w:keepLines w:val="0"/>
        <w:numPr>
          <w:ilvl w:val="1"/>
          <w:numId w:val="32"/>
        </w:numPr>
      </w:pPr>
      <w:bookmarkStart w:id="106" w:name="_Toc349832350"/>
      <w:r w:rsidRPr="00D77120">
        <w:t>A vételi megbízásokra vonatkozó forgalmazás-elszámolási nap:</w:t>
      </w:r>
      <w:bookmarkEnd w:id="106"/>
    </w:p>
    <w:p w:rsidR="00AA175A" w:rsidRPr="00D77120" w:rsidRDefault="00305F02" w:rsidP="008A619D">
      <w:pPr>
        <w:spacing w:before="120"/>
        <w:ind w:left="425"/>
      </w:pPr>
      <w:r w:rsidRPr="00305F02">
        <w:t>A befektető részéről érkező vételi megbízást a Forgalmazó a beérkezés napjára (T) vonatkozóan megállapított nettó eszközérték alapján számolja el. Tehát a forgalmazás-elszámolási nap T.</w:t>
      </w:r>
    </w:p>
    <w:p w:rsidR="0022436E" w:rsidRPr="00D77120" w:rsidRDefault="0022436E" w:rsidP="008A619D">
      <w:pPr>
        <w:pStyle w:val="Cmsor2"/>
        <w:keepLines w:val="0"/>
        <w:numPr>
          <w:ilvl w:val="1"/>
          <w:numId w:val="32"/>
        </w:numPr>
      </w:pPr>
      <w:bookmarkStart w:id="107" w:name="_Toc349832351"/>
      <w:r w:rsidRPr="00D77120">
        <w:t>A vételi megbízásokra vonatkozó forgalmazás-teljesítési nap:</w:t>
      </w:r>
      <w:bookmarkEnd w:id="107"/>
    </w:p>
    <w:p w:rsidR="00AA175A" w:rsidRPr="00D77120" w:rsidRDefault="00305F02" w:rsidP="008A619D">
      <w:pPr>
        <w:spacing w:before="120"/>
        <w:ind w:left="425"/>
      </w:pPr>
      <w:r w:rsidRPr="00305F02">
        <w:t>A befektető részéről érkező vételi megbízást a Forgalmazó a beérkezés napját (T) követő harmadik munkanapon (T+3) teljesíti. Tehát a forgalmazás-teljesítési nap T+3.</w:t>
      </w:r>
    </w:p>
    <w:p w:rsidR="0022436E" w:rsidRPr="00D77120" w:rsidRDefault="0022436E" w:rsidP="008A619D">
      <w:pPr>
        <w:pStyle w:val="Cmsor2"/>
        <w:keepLines w:val="0"/>
        <w:numPr>
          <w:ilvl w:val="0"/>
          <w:numId w:val="32"/>
        </w:numPr>
        <w:rPr>
          <w:u w:val="single"/>
        </w:rPr>
      </w:pPr>
      <w:bookmarkStart w:id="108" w:name="_Toc349832352"/>
      <w:r w:rsidRPr="00D77120">
        <w:rPr>
          <w:u w:val="single"/>
        </w:rPr>
        <w:t>A befektetési jegyek visszaváltása:</w:t>
      </w:r>
      <w:bookmarkEnd w:id="108"/>
    </w:p>
    <w:p w:rsidR="00427A6A" w:rsidRPr="00D77120" w:rsidRDefault="0022436E" w:rsidP="008A619D">
      <w:pPr>
        <w:pStyle w:val="Cmsor2"/>
        <w:keepLines w:val="0"/>
        <w:numPr>
          <w:ilvl w:val="1"/>
          <w:numId w:val="32"/>
        </w:numPr>
      </w:pPr>
      <w:bookmarkStart w:id="109" w:name="_Toc349832353"/>
      <w:r w:rsidRPr="00D77120">
        <w:t>A visszaváltási megbízások felvétele, elszámolása, teljesítése, felvételének napon belüli határideje:</w:t>
      </w:r>
      <w:bookmarkEnd w:id="109"/>
    </w:p>
    <w:p w:rsidR="00305F02" w:rsidRDefault="00305F02" w:rsidP="00305F02">
      <w:pPr>
        <w:spacing w:before="120"/>
        <w:ind w:left="425"/>
      </w:pPr>
      <w:r>
        <w:t>A folyamatos forgalmazás időszakában a Befektetési Jegyek befektető által történő visszaváltásának feltétele:</w:t>
      </w:r>
    </w:p>
    <w:p w:rsidR="00305F02" w:rsidRDefault="00305F02" w:rsidP="00305F02">
      <w:pPr>
        <w:spacing w:before="120"/>
        <w:ind w:left="425"/>
      </w:pPr>
      <w:r>
        <w:t>• a Befektetési Jegyek visszaváltására vonatkozó megbízásnak a Forgalmazóhoz való eljuttatása,</w:t>
      </w:r>
    </w:p>
    <w:p w:rsidR="00305F02" w:rsidRDefault="00305F02" w:rsidP="00305F02">
      <w:pPr>
        <w:spacing w:before="120"/>
        <w:ind w:left="425"/>
      </w:pPr>
      <w:r>
        <w:t>• a visszaváltási megbízásban megjelölt Befektetési Jegy mennyiség rendelkezésre bocsátása a Forgalmazónál vezetett értékpapír- vagy tőkeszámlán.</w:t>
      </w:r>
    </w:p>
    <w:p w:rsidR="00305F02" w:rsidRDefault="00305F02" w:rsidP="00305F02">
      <w:pPr>
        <w:spacing w:before="120"/>
        <w:ind w:left="425"/>
      </w:pPr>
      <w:r>
        <w:t>A Befektetési Jegyek visszaváltása során az Alapkezelőnek a Befektetési Jegyeknek az Alapkezelő KELER Zrt.-nél vezetett számlájára történő megérkezését követően keletkezik kötelezettsége. Az Alapkezelő folyamatos forgalmazással kapcsolatos felelőssége - kizárólag ezt követően - a Befektetési Jegyek törlésére, valamint a visszaváltás ellenértékének az Alap számlájáról a Forgalmazóhoz történő átvezetésre terjed ki. A Forgalmazó a visszaváltási megbízást a Befektetési Jegyek értékesítéséből származó, forgalmazási jutalékkal csökkentett összegnek az ügyfél ügyfélszámláján történő jóváírásával teljesítik.</w:t>
      </w:r>
    </w:p>
    <w:p w:rsidR="00427A6A" w:rsidRPr="00D77120" w:rsidRDefault="00305F02" w:rsidP="00305F02">
      <w:pPr>
        <w:spacing w:before="120"/>
        <w:ind w:left="425"/>
      </w:pPr>
      <w:r>
        <w:t>A visszaváltási megbízást a Forgalmazó a beérkezés napját (T) követő harmadik munkanapon (T+3) (a továbbiakban Visszaváltás-teljesítési nap) teljesíti, a Visszaváltás-teljesítési napon a hivatalos Letétkezelő által számolt, a megbízás beérkezésének napjával (T) dátumozott egy Befektetési Jegyre jutó nettó eszközértéknek megfelelő áron. Amennyiben a megbízás Forgalmazóhoz történő beérkezésének napja nem banki munkanap vagy a megbízás a Forgalmazóhoz az aznapi Forgalmazási órákat követően érkezik meg, akkor a Forgalmazó a megbízást az eredeti beérkezés napját követő első banki munkanapon veszik fel és a továbbiakban ezt tekintik a megbízás beérkezése napjának (T).</w:t>
      </w:r>
    </w:p>
    <w:p w:rsidR="0022436E" w:rsidRPr="00D77120" w:rsidRDefault="0022436E" w:rsidP="008A619D">
      <w:pPr>
        <w:pStyle w:val="Cmsor2"/>
        <w:keepLines w:val="0"/>
        <w:numPr>
          <w:ilvl w:val="1"/>
          <w:numId w:val="32"/>
        </w:numPr>
      </w:pPr>
      <w:bookmarkStart w:id="110" w:name="_Toc349832354"/>
      <w:r w:rsidRPr="00D77120">
        <w:lastRenderedPageBreak/>
        <w:t>A visszaváltási megbízásokra vonatkozó forgalmazás-elszámolási nap:</w:t>
      </w:r>
      <w:bookmarkEnd w:id="110"/>
    </w:p>
    <w:p w:rsidR="00AA175A" w:rsidRPr="00D77120" w:rsidRDefault="00305F02" w:rsidP="008A619D">
      <w:pPr>
        <w:spacing w:before="120"/>
        <w:ind w:left="425"/>
      </w:pPr>
      <w:r w:rsidRPr="00305F02">
        <w:t>A befektető részéről érkező visszaváltási megbízást a Forgalmazó a beérkezés napjára (T) vonatkozóan megállapított nettó eszközérték alapján számolja el. Tehát a forgalmazás-elszámolási nap T.</w:t>
      </w:r>
    </w:p>
    <w:p w:rsidR="0022436E" w:rsidRPr="00D77120" w:rsidRDefault="0022436E" w:rsidP="008A619D">
      <w:pPr>
        <w:pStyle w:val="Cmsor2"/>
        <w:keepLines w:val="0"/>
        <w:numPr>
          <w:ilvl w:val="1"/>
          <w:numId w:val="32"/>
        </w:numPr>
      </w:pPr>
      <w:bookmarkStart w:id="111" w:name="_Toc349832355"/>
      <w:r w:rsidRPr="00D77120">
        <w:t>A visszaváltási megbízásokra vonatkozó forgalmazás-teljesítési nap:</w:t>
      </w:r>
      <w:bookmarkEnd w:id="111"/>
    </w:p>
    <w:p w:rsidR="00AA175A" w:rsidRPr="00D77120" w:rsidRDefault="00305F02" w:rsidP="008A619D">
      <w:pPr>
        <w:spacing w:before="120"/>
        <w:ind w:left="425"/>
      </w:pPr>
      <w:r w:rsidRPr="00305F02">
        <w:t>A befektető részéről érkező visszaváltási megbízást a Forgalmazó a beérkezés napját (T) követő harmadik munkanapon (T+3) teljesíti. Tehát a forgalmazás-teljesítési nap T+3.</w:t>
      </w:r>
    </w:p>
    <w:p w:rsidR="0022436E" w:rsidRPr="00D77120" w:rsidRDefault="0022436E" w:rsidP="008A619D">
      <w:pPr>
        <w:pStyle w:val="Cmsor2"/>
        <w:keepLines w:val="0"/>
        <w:numPr>
          <w:ilvl w:val="0"/>
          <w:numId w:val="32"/>
        </w:numPr>
        <w:rPr>
          <w:u w:val="single"/>
        </w:rPr>
      </w:pPr>
      <w:bookmarkStart w:id="112" w:name="_Toc349832356"/>
      <w:r w:rsidRPr="00D77120">
        <w:rPr>
          <w:u w:val="single"/>
        </w:rPr>
        <w:t>A befektetési jegyek folyamatos forgalmazásának részletszabályai:</w:t>
      </w:r>
      <w:bookmarkEnd w:id="112"/>
    </w:p>
    <w:p w:rsidR="00427A6A" w:rsidRPr="00D77120" w:rsidRDefault="0022436E" w:rsidP="008A619D">
      <w:pPr>
        <w:pStyle w:val="Cmsor2"/>
        <w:keepLines w:val="0"/>
        <w:numPr>
          <w:ilvl w:val="1"/>
          <w:numId w:val="32"/>
        </w:numPr>
      </w:pPr>
      <w:bookmarkStart w:id="113" w:name="_Toc349832357"/>
      <w:r w:rsidRPr="00D77120">
        <w:t>A forgalmazási maximum mértéke:</w:t>
      </w:r>
      <w:bookmarkEnd w:id="113"/>
    </w:p>
    <w:p w:rsidR="00AA175A" w:rsidRPr="00D77120" w:rsidRDefault="00305F02" w:rsidP="008A619D">
      <w:pPr>
        <w:spacing w:before="120"/>
        <w:ind w:left="425"/>
      </w:pPr>
      <w:r>
        <w:t>Nem alkalmazandó.</w:t>
      </w:r>
    </w:p>
    <w:p w:rsidR="0022436E" w:rsidRPr="00D77120" w:rsidRDefault="0022436E" w:rsidP="008A619D">
      <w:pPr>
        <w:pStyle w:val="Cmsor2"/>
        <w:keepLines w:val="0"/>
        <w:numPr>
          <w:ilvl w:val="1"/>
          <w:numId w:val="32"/>
        </w:numPr>
      </w:pPr>
      <w:bookmarkStart w:id="114" w:name="_Toc349832358"/>
      <w:r w:rsidRPr="00D77120">
        <w:t>A forgalmazási maximum elérését követő eljárás, az értékesítés újraindításának pontos feltételei:</w:t>
      </w:r>
      <w:bookmarkEnd w:id="114"/>
    </w:p>
    <w:p w:rsidR="00AA175A" w:rsidRPr="00D77120" w:rsidRDefault="00305F02" w:rsidP="008A619D">
      <w:pPr>
        <w:spacing w:before="120"/>
        <w:ind w:left="425"/>
      </w:pPr>
      <w:r>
        <w:t>Nem alkalmazandó.</w:t>
      </w:r>
    </w:p>
    <w:p w:rsidR="0022436E" w:rsidRPr="00D77120" w:rsidRDefault="0022436E" w:rsidP="008A619D">
      <w:pPr>
        <w:pStyle w:val="Cmsor2"/>
        <w:keepLines w:val="0"/>
        <w:numPr>
          <w:ilvl w:val="0"/>
          <w:numId w:val="32"/>
        </w:numPr>
        <w:rPr>
          <w:u w:val="single"/>
        </w:rPr>
      </w:pPr>
      <w:bookmarkStart w:id="115" w:name="_Toc349832359"/>
      <w:r w:rsidRPr="00D77120">
        <w:rPr>
          <w:u w:val="single"/>
        </w:rPr>
        <w:t>A befektetési jegyek vételi, illetve visszaváltási árának meghatározása:</w:t>
      </w:r>
      <w:bookmarkEnd w:id="115"/>
    </w:p>
    <w:p w:rsidR="00427A6A" w:rsidRPr="00305F02" w:rsidRDefault="00427A6A" w:rsidP="008A619D">
      <w:pPr>
        <w:spacing w:before="120"/>
        <w:ind w:left="425"/>
      </w:pPr>
      <w:r w:rsidRPr="00305F02">
        <w:t>Jegyzéskor a befektetési jegyek ára a névérték 101%-a.</w:t>
      </w:r>
    </w:p>
    <w:p w:rsidR="00427A6A" w:rsidRPr="00156D0B" w:rsidRDefault="00305F02" w:rsidP="00156D0B">
      <w:pPr>
        <w:spacing w:before="120"/>
        <w:ind w:left="425"/>
        <w:rPr>
          <w:highlight w:val="yellow"/>
        </w:rPr>
      </w:pPr>
      <w:r w:rsidRPr="00305F02">
        <w:t>A Befektetési Jegyek vételi és visszaváltási árának alapja az egy Befektetési Jegyre jutó nettó eszközérték.</w:t>
      </w:r>
    </w:p>
    <w:p w:rsidR="0022436E" w:rsidRPr="00D77120" w:rsidRDefault="0022436E" w:rsidP="008A619D">
      <w:pPr>
        <w:pStyle w:val="Cmsor2"/>
        <w:keepLines w:val="0"/>
        <w:numPr>
          <w:ilvl w:val="1"/>
          <w:numId w:val="32"/>
        </w:numPr>
      </w:pPr>
      <w:bookmarkStart w:id="116" w:name="_Toc349832360"/>
      <w:r w:rsidRPr="00D77120">
        <w:t>A fenti árak kiszámításának módszere és gyakorisága:</w:t>
      </w:r>
      <w:bookmarkEnd w:id="116"/>
    </w:p>
    <w:p w:rsidR="00305F02" w:rsidRPr="00305F02" w:rsidRDefault="00305F02" w:rsidP="00A56CAE">
      <w:pPr>
        <w:spacing w:before="120"/>
        <w:ind w:left="425"/>
      </w:pPr>
      <w:r w:rsidRPr="00305F02">
        <w:t xml:space="preserve">Az Alap nettó eszközértéke naponta kerül kiszámításra, melyet a Letétkezelő </w:t>
      </w:r>
      <w:r w:rsidR="00A56CAE">
        <w:t>a Felügyelet által üzemeltetett www.kozzetetelek.hu honlapon tesz közzé és az Alapkezelő www.privatvagyonkezeles.hu honlapján is megtalálható</w:t>
      </w:r>
      <w:r w:rsidRPr="00305F02">
        <w:t>. Az Alap T napi forgalmazásának árbázisát képező nettó eszközértékét a Letétkezelő T napi dátummal ellátva T+2 napon ismerteti.</w:t>
      </w:r>
    </w:p>
    <w:p w:rsidR="00AA175A" w:rsidRPr="00305F02" w:rsidRDefault="00305F02" w:rsidP="00305F02">
      <w:pPr>
        <w:spacing w:before="120"/>
        <w:ind w:left="425"/>
      </w:pPr>
      <w:r w:rsidRPr="00305F02">
        <w:t>Az Alap T napra vonatkozó nettó eszközértékét a Letétkezelő T+1 napon állapítja meg oly módon, hogy az Alap által T napon birtokolt eszközök piaci értékét azok T napi árfolyamadatainak segítségével meghatározza, és ebből levonja az Alapot T napig terhelő kötelezettségeket.</w:t>
      </w:r>
    </w:p>
    <w:p w:rsidR="0022436E" w:rsidRPr="00D77120" w:rsidRDefault="0022436E" w:rsidP="008A619D">
      <w:pPr>
        <w:pStyle w:val="Cmsor2"/>
        <w:keepLines w:val="0"/>
        <w:numPr>
          <w:ilvl w:val="1"/>
          <w:numId w:val="32"/>
        </w:numPr>
      </w:pPr>
      <w:bookmarkStart w:id="117" w:name="_Toc349832361"/>
      <w:r w:rsidRPr="00D77120">
        <w:t>A befektetési jegyek vételével, visszaváltásával kapcsolatban felszámított forgalmazási jutalékok maximális mértéke és annak megjelölése, hogy ez — részben vagy egészben - a befektetési alapot vagy a forgalmazót vagy a befektetési alapkezelőt illeti-e meg:</w:t>
      </w:r>
      <w:bookmarkEnd w:id="117"/>
    </w:p>
    <w:p w:rsidR="006B7134" w:rsidRPr="002E29FF" w:rsidRDefault="006B7134" w:rsidP="008A619D">
      <w:pPr>
        <w:spacing w:before="240"/>
        <w:ind w:left="425"/>
      </w:pPr>
      <w:r w:rsidRPr="00A56CAE">
        <w:t>A Befektetési Jegyek jegyzésekor 1%-os jegyzési jutalék kerül felszámításra olya</w:t>
      </w:r>
      <w:r w:rsidR="006C04D1" w:rsidRPr="00A56CAE">
        <w:t>n</w:t>
      </w:r>
      <w:r w:rsidRPr="00A56CAE">
        <w:t xml:space="preserve"> módon, hogy a jegyzési ár a Befekte</w:t>
      </w:r>
      <w:r w:rsidR="00A56CAE" w:rsidRPr="00A56CAE">
        <w:t xml:space="preserve">tési Jegyek névértékének </w:t>
      </w:r>
      <w:r w:rsidR="00A56CAE" w:rsidRPr="002E29FF">
        <w:t>101%-a, amely a Forgalmazót illeti meg.</w:t>
      </w:r>
    </w:p>
    <w:p w:rsidR="00A56CAE" w:rsidRPr="002E29FF" w:rsidRDefault="00A56CAE" w:rsidP="00A56CAE">
      <w:pPr>
        <w:spacing w:before="240"/>
        <w:ind w:left="425"/>
      </w:pPr>
      <w:r w:rsidRPr="002E29FF">
        <w:t>A Befektetési Jegyek eladási jutaléka az eladási árfolyamérték maximum 10 százaléka (Az Alapkezelő a Vezető Forgalmazóval és a Forgalmazókkal kötött szerződésben ennél alacsonyabb díjban is megállapodhat.)</w:t>
      </w:r>
      <w:r w:rsidR="00C50ED6" w:rsidRPr="002E29FF">
        <w:t>, amely a Forgalmazót illeti meg.</w:t>
      </w:r>
    </w:p>
    <w:p w:rsidR="00A56CAE" w:rsidRDefault="00A56CAE" w:rsidP="00A56CAE">
      <w:pPr>
        <w:spacing w:before="240"/>
        <w:ind w:left="425"/>
      </w:pPr>
      <w:r w:rsidRPr="002E29FF">
        <w:t>A Befektetési Jegyek visszaváltási jutaléka a visszaváltási árf</w:t>
      </w:r>
      <w:r w:rsidR="00C50ED6" w:rsidRPr="002E29FF">
        <w:t>olyamérték maximum 10 százaléka</w:t>
      </w:r>
      <w:r w:rsidRPr="002E29FF">
        <w:t xml:space="preserve"> (Az Alapkezelő a Vezető Forgalmazóval és a Forgalmazókkal kötött szerződésben ennél alacsonyabb díjban is megállapodhat.)</w:t>
      </w:r>
      <w:r w:rsidR="00C50ED6" w:rsidRPr="002E29FF">
        <w:t>, amely a Forgalmazót illeti meg.</w:t>
      </w:r>
    </w:p>
    <w:p w:rsidR="00A56CAE" w:rsidRDefault="00A56CAE" w:rsidP="00A56CAE">
      <w:pPr>
        <w:spacing w:before="240"/>
        <w:ind w:left="425"/>
      </w:pPr>
      <w:r>
        <w:t>Amennyiben a Befektetési Jegy(</w:t>
      </w:r>
      <w:proofErr w:type="spellStart"/>
      <w:r>
        <w:t>ek</w:t>
      </w:r>
      <w:proofErr w:type="spellEnd"/>
      <w:r>
        <w:t>) bármely tulajdonosa a legutoljára adott vételi megbízás időpontjától számított 5 banki munkanapon belül (T+5) ad visszaváltási megbízást, akkor a Vezető Forgalmazó, illetve a Forgalmazók a visszaváltási jutalékon felül jogosultak további 5 százalék büntetőjutalékot is felszámolni, mely az Alapot illeti meg. Az 5 banki munkanapon belüli büntetőjutalék alapja a visszaváltott Befektetési Jegy(</w:t>
      </w:r>
      <w:proofErr w:type="spellStart"/>
      <w:r>
        <w:t>ek</w:t>
      </w:r>
      <w:proofErr w:type="spellEnd"/>
      <w:r>
        <w:t>) visszaváltáskori árfolyamértéke.</w:t>
      </w:r>
    </w:p>
    <w:p w:rsidR="00A56CAE" w:rsidRPr="00D77120" w:rsidRDefault="00A56CAE" w:rsidP="00A56CAE">
      <w:pPr>
        <w:spacing w:before="240"/>
        <w:ind w:left="425"/>
      </w:pPr>
      <w:r>
        <w:t>Közvetlenül az Alap Befektetési Jegyeinek eladásával, illetve visszaváltásával kapcsolatban a befektetőket más költség nem terheli.</w:t>
      </w:r>
    </w:p>
    <w:p w:rsidR="0022436E" w:rsidRPr="00D77120" w:rsidRDefault="0022436E" w:rsidP="008A619D">
      <w:pPr>
        <w:pStyle w:val="Cmsor2"/>
        <w:keepLines w:val="0"/>
        <w:numPr>
          <w:ilvl w:val="0"/>
          <w:numId w:val="32"/>
        </w:numPr>
        <w:rPr>
          <w:u w:val="single"/>
        </w:rPr>
      </w:pPr>
      <w:bookmarkStart w:id="118" w:name="_Toc349832362"/>
      <w:r w:rsidRPr="00D77120">
        <w:rPr>
          <w:u w:val="single"/>
        </w:rPr>
        <w:t>Azoknak a szabályozott piacoknak a feltüntetése, ahol a befektetési jegyeket jegyzik, illetve forgalmazzák:</w:t>
      </w:r>
      <w:bookmarkEnd w:id="118"/>
    </w:p>
    <w:p w:rsidR="00427A6A" w:rsidRPr="00D77120" w:rsidRDefault="00C50ED6" w:rsidP="008A619D">
      <w:pPr>
        <w:spacing w:before="240"/>
        <w:ind w:left="425"/>
      </w:pPr>
      <w:r>
        <w:t>Nincs információ.</w:t>
      </w:r>
    </w:p>
    <w:p w:rsidR="0022436E" w:rsidRPr="00D77120" w:rsidRDefault="0022436E" w:rsidP="008A619D">
      <w:pPr>
        <w:pStyle w:val="Cmsor2"/>
        <w:keepLines w:val="0"/>
        <w:numPr>
          <w:ilvl w:val="0"/>
          <w:numId w:val="32"/>
        </w:numPr>
        <w:rPr>
          <w:u w:val="single"/>
        </w:rPr>
      </w:pPr>
      <w:bookmarkStart w:id="119" w:name="_Toc349832363"/>
      <w:r w:rsidRPr="00D77120">
        <w:rPr>
          <w:u w:val="single"/>
        </w:rPr>
        <w:lastRenderedPageBreak/>
        <w:t>Azoknak az államoknak (forgalmazási területeknek) a feltüntetése, ahol a</w:t>
      </w:r>
      <w:r w:rsidR="008A070D" w:rsidRPr="00D77120">
        <w:rPr>
          <w:u w:val="single"/>
        </w:rPr>
        <w:t xml:space="preserve"> </w:t>
      </w:r>
      <w:r w:rsidRPr="00D77120">
        <w:rPr>
          <w:u w:val="single"/>
        </w:rPr>
        <w:t>befektetési jegyeket forgalmazzák:</w:t>
      </w:r>
      <w:bookmarkEnd w:id="119"/>
    </w:p>
    <w:p w:rsidR="006B7134" w:rsidRPr="00D77120" w:rsidRDefault="006B7134" w:rsidP="008A619D">
      <w:pPr>
        <w:spacing w:before="240"/>
        <w:ind w:left="425"/>
      </w:pPr>
      <w:r w:rsidRPr="00C50ED6">
        <w:t>Magyarország</w:t>
      </w:r>
    </w:p>
    <w:p w:rsidR="0022436E" w:rsidRDefault="00282AFC" w:rsidP="008A619D">
      <w:pPr>
        <w:pStyle w:val="Cmsor2"/>
        <w:keepLines w:val="0"/>
        <w:numPr>
          <w:ilvl w:val="0"/>
          <w:numId w:val="32"/>
        </w:numPr>
        <w:rPr>
          <w:u w:val="single"/>
        </w:rPr>
      </w:pPr>
      <w:bookmarkStart w:id="120" w:name="_Toc349832364"/>
      <w:r w:rsidRPr="00994331">
        <w:rPr>
          <w:u w:val="single"/>
        </w:rPr>
        <w:t>Az adott tárgykörre vonatkozó</w:t>
      </w:r>
      <w:r w:rsidRPr="00D77120">
        <w:rPr>
          <w:u w:val="single"/>
        </w:rPr>
        <w:t xml:space="preserve"> </w:t>
      </w:r>
      <w:r>
        <w:rPr>
          <w:u w:val="single"/>
        </w:rPr>
        <w:t>e</w:t>
      </w:r>
      <w:r w:rsidR="008A070D" w:rsidRPr="00D77120">
        <w:rPr>
          <w:u w:val="single"/>
        </w:rPr>
        <w:t>gyéb információk</w:t>
      </w:r>
      <w:r w:rsidR="0022436E" w:rsidRPr="00D77120">
        <w:rPr>
          <w:u w:val="single"/>
        </w:rPr>
        <w:t>:</w:t>
      </w:r>
      <w:bookmarkEnd w:id="120"/>
    </w:p>
    <w:p w:rsidR="00282AFC" w:rsidRPr="00282AFC" w:rsidRDefault="00282AFC" w:rsidP="00282AFC">
      <w:pPr>
        <w:spacing w:before="240"/>
        <w:ind w:left="425"/>
      </w:pPr>
      <w:r w:rsidRPr="00282AFC">
        <w:t>A Batv. 85. § (1) alapján a forgalmazó köteles - a kezelési szabályzatban meghatározott határidő figyelembevételével - tájékoztatni a befektetési alapkezelőt és a letétkezelőt az általa értékesített befektetési jegyek darabszámáról, valamint - amennyiben erről a forgalmazó és a befektetési alapkezelő erről megállapodott -, a befektetési alapkezelőt a befektetők és képviselőik forgalmazó által felvett adatairól. Az ilyen adattovábbítás nem minősül a Tpt. szerinti értékpapírtitok vagy az üzleti titok megsértésének. A befektetési alapkezelő a jelen bekezdés alapján a részére átadásra kerülő adatokat kizárólag az értékpapírtitokra vonatkozó rendelkezések keretében, a befektetési alapkezelési tevékenységéhez szükséges célra, különösen a befektetők tájékoztatása, a befektetési alapkezelő vagy a befektetési alapok kereskedelmi kommunikációja céljára használhatja fel.</w:t>
      </w:r>
    </w:p>
    <w:p w:rsidR="006B7134" w:rsidRPr="00D77120" w:rsidRDefault="006B7134">
      <w:pPr>
        <w:keepLines w:val="0"/>
        <w:spacing w:after="0"/>
        <w:jc w:val="left"/>
        <w:rPr>
          <w:b/>
          <w:caps/>
          <w:kern w:val="28"/>
        </w:rPr>
      </w:pPr>
      <w:r w:rsidRPr="00D77120">
        <w:br w:type="page"/>
      </w:r>
    </w:p>
    <w:p w:rsidR="008A070D" w:rsidRPr="002E6CC3" w:rsidRDefault="008A070D" w:rsidP="008A070D">
      <w:pPr>
        <w:pStyle w:val="Cmsor1"/>
        <w:keepLines w:val="0"/>
        <w:numPr>
          <w:ilvl w:val="0"/>
          <w:numId w:val="31"/>
        </w:numPr>
        <w:rPr>
          <w:rFonts w:ascii="Verdana" w:hAnsi="Verdana"/>
        </w:rPr>
      </w:pPr>
      <w:bookmarkStart w:id="121" w:name="_Toc349832365"/>
      <w:r w:rsidRPr="0022436E">
        <w:rPr>
          <w:rFonts w:ascii="Verdana" w:hAnsi="Verdana"/>
        </w:rPr>
        <w:lastRenderedPageBreak/>
        <w:t xml:space="preserve">A befektetési </w:t>
      </w:r>
      <w:r>
        <w:rPr>
          <w:rFonts w:ascii="Verdana" w:hAnsi="Verdana"/>
        </w:rPr>
        <w:t>alapra vonatkozó további információ</w:t>
      </w:r>
      <w:bookmarkEnd w:id="121"/>
    </w:p>
    <w:p w:rsidR="008A070D" w:rsidRPr="00D77120" w:rsidRDefault="008A070D" w:rsidP="008A070D">
      <w:pPr>
        <w:pStyle w:val="Cmsor2"/>
        <w:keepLines w:val="0"/>
        <w:numPr>
          <w:ilvl w:val="0"/>
          <w:numId w:val="32"/>
        </w:numPr>
        <w:jc w:val="left"/>
        <w:rPr>
          <w:u w:val="single"/>
        </w:rPr>
      </w:pPr>
      <w:bookmarkStart w:id="122" w:name="_Toc349832366"/>
      <w:r w:rsidRPr="00D77120">
        <w:rPr>
          <w:u w:val="single"/>
        </w:rPr>
        <w:t>Befektetési alap múltbeli teljesítménye:</w:t>
      </w:r>
      <w:bookmarkEnd w:id="122"/>
    </w:p>
    <w:p w:rsidR="006B7134" w:rsidRPr="00D77120" w:rsidRDefault="00282AFC" w:rsidP="008A619D">
      <w:pPr>
        <w:spacing w:before="240"/>
        <w:ind w:left="425"/>
      </w:pPr>
      <w:r>
        <w:t>Nem alkalmazandó</w:t>
      </w:r>
      <w:r w:rsidR="006B7134" w:rsidRPr="00D77120">
        <w:t>.</w:t>
      </w:r>
    </w:p>
    <w:p w:rsidR="008A070D" w:rsidRPr="00D77120" w:rsidRDefault="008A070D" w:rsidP="008A619D">
      <w:pPr>
        <w:pStyle w:val="Cmsor2"/>
        <w:keepLines w:val="0"/>
        <w:numPr>
          <w:ilvl w:val="0"/>
          <w:numId w:val="32"/>
        </w:numPr>
        <w:rPr>
          <w:u w:val="single"/>
        </w:rPr>
      </w:pPr>
      <w:bookmarkStart w:id="123" w:name="_Toc349832367"/>
      <w:r w:rsidRPr="00D77120">
        <w:rPr>
          <w:u w:val="single"/>
        </w:rPr>
        <w:t>Amennyiben az adott alap esetében mód van a befektetési jegyek bevonására, ennek feltételei:</w:t>
      </w:r>
      <w:bookmarkEnd w:id="123"/>
    </w:p>
    <w:p w:rsidR="006B7134" w:rsidRPr="00D77120" w:rsidRDefault="00282AFC" w:rsidP="008A619D">
      <w:pPr>
        <w:spacing w:before="240"/>
        <w:ind w:left="425"/>
      </w:pPr>
      <w:r w:rsidRPr="00282AFC">
        <w:t>Nem alkalmazandó</w:t>
      </w:r>
      <w:r w:rsidR="006B7134" w:rsidRPr="00D77120">
        <w:t>.</w:t>
      </w:r>
    </w:p>
    <w:p w:rsidR="008A070D" w:rsidRPr="00D77120" w:rsidRDefault="008A070D" w:rsidP="008A619D">
      <w:pPr>
        <w:pStyle w:val="Cmsor2"/>
        <w:keepLines w:val="0"/>
        <w:numPr>
          <w:ilvl w:val="0"/>
          <w:numId w:val="32"/>
        </w:numPr>
        <w:rPr>
          <w:u w:val="single"/>
        </w:rPr>
      </w:pPr>
      <w:bookmarkStart w:id="124" w:name="_Toc349832368"/>
      <w:r w:rsidRPr="00D77120">
        <w:rPr>
          <w:u w:val="single"/>
        </w:rPr>
        <w:t>A befektetési alap megszűnését kiváltó körülmények, a megszűnés hatása a befektetők jogaira:</w:t>
      </w:r>
      <w:bookmarkEnd w:id="124"/>
    </w:p>
    <w:p w:rsidR="00C50ED6" w:rsidRDefault="00C50ED6" w:rsidP="00C50ED6">
      <w:pPr>
        <w:spacing w:before="240"/>
        <w:ind w:left="425"/>
      </w:pPr>
      <w:r>
        <w:t>A Batv. 55. §-a alapján:</w:t>
      </w:r>
    </w:p>
    <w:p w:rsidR="00C50ED6" w:rsidRDefault="00C50ED6" w:rsidP="007015D7">
      <w:pPr>
        <w:pStyle w:val="Listaszerbekezds"/>
        <w:spacing w:before="240"/>
        <w:ind w:left="785" w:hanging="360"/>
      </w:pPr>
      <w:r>
        <w:t>(1)</w:t>
      </w:r>
      <w:r>
        <w:tab/>
        <w:t>A befektetési alappal szembeni megszűnési eljárás megindításáról a befektetési alapkezelő vagy a Felügyelet határoz.</w:t>
      </w:r>
    </w:p>
    <w:p w:rsidR="00C50ED6" w:rsidRDefault="00C50ED6" w:rsidP="007015D7">
      <w:pPr>
        <w:pStyle w:val="Listaszerbekezds"/>
        <w:spacing w:before="240"/>
        <w:ind w:left="785" w:hanging="360"/>
      </w:pPr>
      <w:r>
        <w:t>(2)</w:t>
      </w:r>
      <w:r>
        <w:tab/>
        <w:t>Kötelező megindítani az eljárást,</w:t>
      </w:r>
    </w:p>
    <w:p w:rsidR="007015D7" w:rsidRDefault="00C50ED6" w:rsidP="007015D7">
      <w:pPr>
        <w:pStyle w:val="Listaszerbekezds"/>
        <w:spacing w:before="240"/>
        <w:ind w:left="1276" w:hanging="360"/>
      </w:pPr>
      <w:r>
        <w:t>a)</w:t>
      </w:r>
      <w:r>
        <w:tab/>
      </w:r>
      <w:r w:rsidR="007015D7">
        <w:t>ha a nyilvános, nyílt végű befektetési alap nettó eszközértéke 3 hónapon keresztül, átlagosan nem éri el a húszmillió forintot;</w:t>
      </w:r>
    </w:p>
    <w:p w:rsidR="00C50ED6" w:rsidRDefault="0010706E" w:rsidP="0010706E">
      <w:pPr>
        <w:pStyle w:val="Listaszerbekezds"/>
        <w:spacing w:before="240"/>
        <w:ind w:left="1276" w:hanging="360"/>
      </w:pPr>
      <w:r>
        <w:t>b)</w:t>
      </w:r>
      <w:r>
        <w:tab/>
      </w:r>
      <w:r w:rsidR="00C50ED6">
        <w:t>ha a befektetési alap nettó eszközértéke negatívvá vált;</w:t>
      </w:r>
    </w:p>
    <w:p w:rsidR="00C50ED6" w:rsidRDefault="0010706E" w:rsidP="007015D7">
      <w:pPr>
        <w:pStyle w:val="Listaszerbekezds"/>
        <w:spacing w:before="240"/>
        <w:ind w:left="1276" w:hanging="360"/>
      </w:pPr>
      <w:r>
        <w:t>c</w:t>
      </w:r>
      <w:r w:rsidR="00C50ED6">
        <w:t>)</w:t>
      </w:r>
      <w:r w:rsidR="00C50ED6">
        <w:tab/>
        <w:t>ha a befektetési alapkezelő befektetési alapkezelési tevékenység végzésére jogosító engedélyét a Felügyelet visszavonta,</w:t>
      </w:r>
    </w:p>
    <w:p w:rsidR="00C50ED6" w:rsidRDefault="0010706E" w:rsidP="007015D7">
      <w:pPr>
        <w:pStyle w:val="Listaszerbekezds"/>
        <w:spacing w:before="240"/>
        <w:ind w:left="1276" w:hanging="360"/>
      </w:pPr>
      <w:r>
        <w:t>d</w:t>
      </w:r>
      <w:r w:rsidR="00C50ED6">
        <w:t>)</w:t>
      </w:r>
      <w:r w:rsidR="00C50ED6">
        <w:tab/>
        <w:t>ha a Felügyelet kötelezte a befektetési alapkezelőt a befektetési alap kezelésének átadására, azonban a befektetési alap kezelését egyetlen befektetési alapkezelő sem veszi át,</w:t>
      </w:r>
    </w:p>
    <w:p w:rsidR="00C50ED6" w:rsidRDefault="0010706E" w:rsidP="007015D7">
      <w:pPr>
        <w:pStyle w:val="Listaszerbekezds"/>
        <w:spacing w:before="240"/>
        <w:ind w:left="1276" w:hanging="360"/>
      </w:pPr>
      <w:r>
        <w:t>e</w:t>
      </w:r>
      <w:r w:rsidR="00C50ED6">
        <w:t>)</w:t>
      </w:r>
      <w:r w:rsidR="00C50ED6">
        <w:tab/>
        <w:t>ha a befektetési jegyek folyamatos forgalmazása vagy a befektetési jegyek visszaváltása felfüggesztésének megszűnését követően a folyamatos forgalmazás feltételei továbbra sem biztosítottak.</w:t>
      </w:r>
    </w:p>
    <w:p w:rsidR="00C50ED6" w:rsidRDefault="00C50ED6" w:rsidP="007015D7">
      <w:pPr>
        <w:pStyle w:val="Listaszerbekezds"/>
        <w:spacing w:before="240"/>
        <w:ind w:left="785" w:hanging="360"/>
      </w:pPr>
      <w:r>
        <w:t>(3)</w:t>
      </w:r>
      <w:r>
        <w:tab/>
        <w:t>Külön határozat nélkül elindul a megszűnési eljárás</w:t>
      </w:r>
    </w:p>
    <w:p w:rsidR="00C50ED6" w:rsidRDefault="00C50ED6" w:rsidP="007015D7">
      <w:pPr>
        <w:pStyle w:val="Listaszerbekezds"/>
        <w:spacing w:before="240"/>
        <w:ind w:left="1276" w:hanging="360"/>
      </w:pPr>
      <w:r>
        <w:t>b)</w:t>
      </w:r>
      <w:r>
        <w:tab/>
        <w:t>amennyiben a befektetők az összes befektetési jegy visszaváltására irányuló visszaváltási megbízást adtak le.</w:t>
      </w:r>
    </w:p>
    <w:p w:rsidR="00C50ED6" w:rsidRDefault="00C50ED6" w:rsidP="007015D7">
      <w:pPr>
        <w:pStyle w:val="Listaszerbekezds"/>
        <w:spacing w:before="240"/>
        <w:ind w:left="785" w:hanging="360"/>
      </w:pPr>
      <w:r>
        <w:t>(4)</w:t>
      </w:r>
      <w:r>
        <w:tab/>
        <w:t>A befektetési alapkezelő a megszűnési eljárás megindításáról hozott határozatáról haladéktalanul köteles tájékoztatni a Felügyeletet, valamint rendkívüli közzététel útján a befektetőket és a befektetési alap hitelezőit.</w:t>
      </w:r>
    </w:p>
    <w:p w:rsidR="00C50ED6" w:rsidRDefault="00C50ED6" w:rsidP="007015D7">
      <w:pPr>
        <w:pStyle w:val="Listaszerbekezds"/>
        <w:spacing w:before="240"/>
        <w:ind w:left="785" w:hanging="360"/>
      </w:pPr>
      <w:r>
        <w:t>(5)</w:t>
      </w:r>
      <w:r>
        <w:tab/>
        <w:t>A (2) bekezdés c) és d) pontja szerinti megszűnési eljárást a letétkezelő folytatja le.</w:t>
      </w:r>
    </w:p>
    <w:p w:rsidR="00C50ED6" w:rsidRDefault="00C50ED6" w:rsidP="00C50ED6">
      <w:pPr>
        <w:spacing w:before="240"/>
        <w:ind w:left="425"/>
      </w:pPr>
      <w:r>
        <w:t>A Batv. 56. §-a alapján:</w:t>
      </w:r>
    </w:p>
    <w:p w:rsidR="00C50ED6" w:rsidRDefault="00C50ED6" w:rsidP="007015D7">
      <w:pPr>
        <w:pStyle w:val="Listaszerbekezds"/>
        <w:spacing w:before="240"/>
        <w:ind w:left="785" w:hanging="360"/>
      </w:pPr>
      <w:r>
        <w:t>(1)</w:t>
      </w:r>
      <w:r>
        <w:tab/>
        <w:t>A megszűnési eljárás lefolytatása alatt a befektetési alap - a (2) bekezdésben meghatározott eltéréssel - az általános szabályok szerint működik.</w:t>
      </w:r>
    </w:p>
    <w:p w:rsidR="00C50ED6" w:rsidRDefault="00C50ED6" w:rsidP="007015D7">
      <w:pPr>
        <w:pStyle w:val="Listaszerbekezds"/>
        <w:spacing w:before="240"/>
        <w:ind w:left="785" w:hanging="360"/>
      </w:pPr>
      <w:r>
        <w:t>(2)</w:t>
      </w:r>
      <w:r>
        <w:tab/>
        <w:t>A megszűnési eljárás lefolytatása alatt</w:t>
      </w:r>
    </w:p>
    <w:p w:rsidR="00C50ED6" w:rsidRDefault="00C50ED6" w:rsidP="007015D7">
      <w:pPr>
        <w:pStyle w:val="Listaszerbekezds"/>
        <w:spacing w:before="240"/>
        <w:ind w:left="1276" w:hanging="360"/>
      </w:pPr>
      <w:r>
        <w:t>a)</w:t>
      </w:r>
      <w:r>
        <w:tab/>
      </w:r>
      <w:proofErr w:type="spellStart"/>
      <w:r>
        <w:t>a</w:t>
      </w:r>
      <w:proofErr w:type="spellEnd"/>
      <w:r>
        <w:t xml:space="preserve"> befektetési alap nettó eszközértékét havonta egyszer kell megállapítani és az általános szabályok szerint közzétenni azzal, hogy a közzétételnél meg kell jelölni, hogy az alap megszűnés alatt áll;</w:t>
      </w:r>
    </w:p>
    <w:p w:rsidR="00C50ED6" w:rsidRDefault="00C50ED6" w:rsidP="007015D7">
      <w:pPr>
        <w:pStyle w:val="Listaszerbekezds"/>
        <w:spacing w:before="240"/>
        <w:ind w:left="1276" w:hanging="360"/>
      </w:pPr>
      <w:r>
        <w:t>b)</w:t>
      </w:r>
      <w:r>
        <w:tab/>
        <w:t>a befektetési jegyek folyamatos forgalmazását fel kell függeszteni, illetve zárt végű alap esetében új befektetési jegyeket nem lehet forgalomba hozni;</w:t>
      </w:r>
    </w:p>
    <w:p w:rsidR="00C50ED6" w:rsidRDefault="00C50ED6" w:rsidP="007015D7">
      <w:pPr>
        <w:pStyle w:val="Listaszerbekezds"/>
        <w:spacing w:before="240"/>
        <w:ind w:left="1276" w:hanging="360"/>
      </w:pPr>
      <w:r>
        <w:t>c)</w:t>
      </w:r>
      <w:r>
        <w:tab/>
        <w:t>a befektetési alap eszközeinek értékesítéséből származó ellenérték a megszűnési jelentés elkészítéséig kizárólag likvid eszközökbe fektethető be.</w:t>
      </w:r>
    </w:p>
    <w:p w:rsidR="00C50ED6" w:rsidRDefault="00C50ED6" w:rsidP="00C50ED6">
      <w:pPr>
        <w:spacing w:before="240"/>
        <w:ind w:left="425"/>
      </w:pPr>
      <w:r>
        <w:t>A Batv. 57. §-a alapján:</w:t>
      </w:r>
    </w:p>
    <w:p w:rsidR="00C50ED6" w:rsidRDefault="00C50ED6" w:rsidP="007015D7">
      <w:pPr>
        <w:pStyle w:val="Listaszerbekezds"/>
        <w:spacing w:before="240"/>
        <w:ind w:left="785" w:hanging="360"/>
      </w:pPr>
      <w:r>
        <w:t>(1)</w:t>
      </w:r>
      <w:r>
        <w:tab/>
        <w:t>A megszűnési eljárás alatt a befektetési alap vagyonába tartozó pénzügyi eszközöket 1 hónapon belül értékesíteni kell. Az értékesítést a pénzügyi eszközök esetében piaci áron kell megkísérelni. Az értékesítésre megállapított határidő a befektetők érdekében a Felügyelet engedélyével pénzügyi eszközök esetében 3 hónappal meghosszabbítható.</w:t>
      </w:r>
    </w:p>
    <w:p w:rsidR="00C50ED6" w:rsidRDefault="00C50ED6" w:rsidP="00C50ED6">
      <w:pPr>
        <w:spacing w:before="240"/>
        <w:ind w:left="425"/>
      </w:pPr>
      <w:r>
        <w:t>A Batv. 58. §-a alapján:</w:t>
      </w:r>
    </w:p>
    <w:p w:rsidR="00C50ED6" w:rsidRDefault="00C50ED6" w:rsidP="007015D7">
      <w:pPr>
        <w:pStyle w:val="Listaszerbekezds"/>
        <w:spacing w:before="240"/>
        <w:ind w:left="785" w:hanging="360"/>
      </w:pPr>
      <w:r>
        <w:t>(1)</w:t>
      </w:r>
      <w:r>
        <w:tab/>
        <w:t>A befektetési alap tulajdonába tartozó teljes vagyon értékesítéséből származó ellenérték befolyását és a kötelezettségek teljesítését követő 5 munkanapon belül megszűnési jelentést kell készíteni. A megszűnési jelentést a Felügyelethez be kell nyújtani és ezzel egyidejűleg a befektetők felé közzé kell tenni. A megszűnési jelentésnek legalább a Batv. 4. mellékletében foglaltakat kell tartalmaznia. A megszűnési jelentés közzétételét követően a fizetések megkezdhetők.</w:t>
      </w:r>
    </w:p>
    <w:p w:rsidR="00C50ED6" w:rsidRDefault="00C50ED6" w:rsidP="007015D7">
      <w:pPr>
        <w:pStyle w:val="Listaszerbekezds"/>
        <w:spacing w:before="240"/>
        <w:ind w:left="785" w:hanging="360"/>
      </w:pPr>
      <w:r>
        <w:t>(2)</w:t>
      </w:r>
      <w:r>
        <w:tab/>
        <w:t>A Felügyelet a megszűnési jelentés benyújtását követő nappal törli a befektetési alapot a nyilvántartásból. A befektetési alap a nyilvántartásból való törléssel megszűnik.</w:t>
      </w:r>
    </w:p>
    <w:p w:rsidR="00C50ED6" w:rsidRDefault="00C50ED6" w:rsidP="00C50ED6">
      <w:pPr>
        <w:spacing w:before="240"/>
        <w:ind w:left="425"/>
      </w:pPr>
      <w:r>
        <w:t>A Batv. 59. §-a alapján:</w:t>
      </w:r>
    </w:p>
    <w:p w:rsidR="00C50ED6" w:rsidRDefault="00C50ED6" w:rsidP="007015D7">
      <w:pPr>
        <w:pStyle w:val="Listaszerbekezds"/>
        <w:spacing w:before="240"/>
        <w:ind w:left="785" w:hanging="360"/>
      </w:pPr>
      <w:r>
        <w:lastRenderedPageBreak/>
        <w:t>(1)</w:t>
      </w:r>
      <w:r>
        <w:tab/>
        <w:t>Pozitív saját tőkével rendelkező befektetési alap esetén a befektetési alap eszközeinek értékesítéséből befolyt ellenértékből a befektetési alap tartozásai és kötelezettségei levonását követően rendelkezésre álló (pozitív összegű) tőke a befektetőket befektetési jegyeik arányában illeti meg.</w:t>
      </w:r>
    </w:p>
    <w:p w:rsidR="00C50ED6" w:rsidRDefault="00C50ED6" w:rsidP="007015D7">
      <w:pPr>
        <w:pStyle w:val="Listaszerbekezds"/>
        <w:spacing w:before="240"/>
        <w:ind w:left="785" w:hanging="360"/>
      </w:pPr>
      <w:r>
        <w:t>(2)</w:t>
      </w:r>
      <w:r>
        <w:tab/>
        <w:t>A megszűnési eljárás időtartama alatt az eszközök értékesítéséből származó ellenértékből, illetve a befektetési alap bankszámlájának pozitív egyenlege terhére a befektetők számára előleg formájában részkifizetés teljesíthető. A részkifizetéssel kapcsolatos döntésről rendkívüli közleményt kell megjelentetni. A részkifizetésnek az egyes befektetési jegyek nettó eszközértékére vetítve, azonos arányban kell történnie. A részkifizetés nem történhet a befektetési alapot terhelő kötelezettségek (a befektetési alappal szembeni hitelezői igények) fedezetét jelentő eszközök terhére.</w:t>
      </w:r>
    </w:p>
    <w:p w:rsidR="00C50ED6" w:rsidRDefault="00C50ED6" w:rsidP="007015D7">
      <w:pPr>
        <w:pStyle w:val="Listaszerbekezds"/>
        <w:spacing w:before="240"/>
        <w:ind w:left="785" w:hanging="360"/>
      </w:pPr>
      <w:r>
        <w:t>(3)</w:t>
      </w:r>
      <w:r>
        <w:tab/>
        <w:t>A letétkezelő a megszűnési jelentés Felügyelethez történő benyújtását követő 5 munkanapon belül köteles megkezdeni a rendelkezésre álló összeg kifizetését a befektetők részére, a (2) bekezdés szerinti részkifizetés keretében már kifizetett összeg figyelembevételével. A kifizetés kezdetéről rendkívüli közleményt kell közzétenni. A befektetők részére kifizetendő összeget a letétkezelő elkülönített letéti számlán köteles tartani a befektetők részére történő kifizetésig.</w:t>
      </w:r>
    </w:p>
    <w:p w:rsidR="006B7134" w:rsidRPr="00D77120" w:rsidRDefault="00C50ED6" w:rsidP="007015D7">
      <w:pPr>
        <w:pStyle w:val="Listaszerbekezds"/>
        <w:spacing w:before="240"/>
        <w:ind w:left="785" w:hanging="360"/>
      </w:pPr>
      <w:r>
        <w:t>(4)</w:t>
      </w:r>
      <w:r>
        <w:tab/>
        <w:t>Negatív saját tőkével rendelkező befektetési alap megszűnése esetén a hitelezők követeléseit a Cstv. előírásai szerinti kielégítési sorrendben, a rendelkezésre álló összeg erejéig kell kiegyenlíteni</w:t>
      </w:r>
      <w:r w:rsidR="0028721B">
        <w:t>.</w:t>
      </w:r>
    </w:p>
    <w:p w:rsidR="008A070D" w:rsidRPr="00D77120" w:rsidRDefault="008A070D" w:rsidP="008A619D">
      <w:pPr>
        <w:pStyle w:val="Cmsor2"/>
        <w:keepLines w:val="0"/>
        <w:numPr>
          <w:ilvl w:val="0"/>
          <w:numId w:val="32"/>
        </w:numPr>
        <w:rPr>
          <w:u w:val="single"/>
        </w:rPr>
      </w:pPr>
      <w:bookmarkStart w:id="125" w:name="_Toc349832369"/>
      <w:r w:rsidRPr="00D77120">
        <w:rPr>
          <w:u w:val="single"/>
        </w:rPr>
        <w:t>Minden olyan további információ, amely alapján a befektetők kellő tájékozottsággal tudnak határozni a felkínált befektetési lehetőségről:</w:t>
      </w:r>
      <w:bookmarkEnd w:id="125"/>
    </w:p>
    <w:p w:rsidR="006B7134" w:rsidRPr="00D77120" w:rsidRDefault="006B7134" w:rsidP="008A619D">
      <w:pPr>
        <w:spacing w:before="240"/>
        <w:ind w:left="425"/>
      </w:pPr>
      <w:r w:rsidRPr="00D77120">
        <w:t>Az alap múltbeli teljesítménye, hozama nem jelent garanciát a jövőbeni teljesítményre, hozamra.</w:t>
      </w:r>
    </w:p>
    <w:p w:rsidR="008902FB" w:rsidRPr="00D77120" w:rsidRDefault="008902FB">
      <w:pPr>
        <w:keepLines w:val="0"/>
        <w:spacing w:after="0"/>
        <w:jc w:val="left"/>
        <w:rPr>
          <w:b/>
        </w:rPr>
      </w:pPr>
      <w:r w:rsidRPr="00D77120">
        <w:rPr>
          <w:b/>
        </w:rPr>
        <w:br w:type="page"/>
      </w:r>
    </w:p>
    <w:p w:rsidR="008902FB" w:rsidRPr="002E6CC3" w:rsidRDefault="008902FB" w:rsidP="008902FB">
      <w:pPr>
        <w:pStyle w:val="Cmsor1"/>
        <w:keepLines w:val="0"/>
        <w:numPr>
          <w:ilvl w:val="0"/>
          <w:numId w:val="31"/>
        </w:numPr>
        <w:rPr>
          <w:rFonts w:ascii="Verdana" w:hAnsi="Verdana"/>
        </w:rPr>
      </w:pPr>
      <w:bookmarkStart w:id="126" w:name="_Toc349832370"/>
      <w:r w:rsidRPr="008902FB">
        <w:rPr>
          <w:rFonts w:ascii="Verdana" w:hAnsi="Verdana"/>
        </w:rPr>
        <w:lastRenderedPageBreak/>
        <w:t>Közreműködő szervezetekre vonatkozó alapinformációk</w:t>
      </w:r>
      <w:bookmarkEnd w:id="126"/>
    </w:p>
    <w:p w:rsidR="008902FB" w:rsidRPr="00D77120" w:rsidRDefault="008902FB" w:rsidP="008A619D">
      <w:pPr>
        <w:pStyle w:val="Cmsor2"/>
        <w:keepLines w:val="0"/>
        <w:numPr>
          <w:ilvl w:val="0"/>
          <w:numId w:val="32"/>
        </w:numPr>
        <w:rPr>
          <w:u w:val="single"/>
        </w:rPr>
      </w:pPr>
      <w:bookmarkStart w:id="127" w:name="_Toc349832371"/>
      <w:r w:rsidRPr="00D77120">
        <w:rPr>
          <w:u w:val="single"/>
        </w:rPr>
        <w:t>A befektetési alapkezelőre vonatkozó alapinformációk (cégnév, cégforma, cégjegyzékszám):</w:t>
      </w:r>
      <w:bookmarkEnd w:id="127"/>
    </w:p>
    <w:p w:rsidR="00427A6A" w:rsidRPr="00D77120" w:rsidRDefault="00427A6A" w:rsidP="008A619D">
      <w:pPr>
        <w:spacing w:before="240"/>
        <w:ind w:left="425"/>
      </w:pPr>
      <w:r w:rsidRPr="00D77120">
        <w:t>Neve: Concorde Alapkezelő Befektetési Alapkezelő Zártkörűen Működő Részvénytársaság</w:t>
      </w:r>
    </w:p>
    <w:p w:rsidR="004F1B5D" w:rsidRPr="00D77120" w:rsidRDefault="004F1B5D" w:rsidP="008A619D">
      <w:pPr>
        <w:spacing w:before="240"/>
        <w:ind w:left="425"/>
      </w:pPr>
      <w:r w:rsidRPr="00D77120">
        <w:t>Cégforma: zártkörűen működő részvénytársaság</w:t>
      </w:r>
    </w:p>
    <w:p w:rsidR="004F1B5D" w:rsidRPr="00D77120" w:rsidRDefault="004F1B5D" w:rsidP="008A619D">
      <w:pPr>
        <w:spacing w:before="240"/>
        <w:ind w:left="425"/>
      </w:pPr>
      <w:r w:rsidRPr="00D77120">
        <w:t>Cégbejegyzés száma: 01-10-044222</w:t>
      </w:r>
    </w:p>
    <w:p w:rsidR="008902FB" w:rsidRPr="00D77120" w:rsidRDefault="008902FB" w:rsidP="008A619D">
      <w:pPr>
        <w:pStyle w:val="Cmsor2"/>
        <w:keepLines w:val="0"/>
        <w:numPr>
          <w:ilvl w:val="0"/>
          <w:numId w:val="32"/>
        </w:numPr>
        <w:rPr>
          <w:u w:val="single"/>
        </w:rPr>
      </w:pPr>
      <w:bookmarkStart w:id="128" w:name="_Toc349832372"/>
      <w:r w:rsidRPr="00D77120">
        <w:rPr>
          <w:u w:val="single"/>
        </w:rPr>
        <w:t>A letétkezelőre vonatkozó alapinformációk (cégnév, cégforma, cégjegyzékszám):</w:t>
      </w:r>
      <w:bookmarkEnd w:id="128"/>
    </w:p>
    <w:p w:rsidR="004F1B5D" w:rsidRPr="00384108" w:rsidRDefault="004F1B5D" w:rsidP="008A619D">
      <w:pPr>
        <w:spacing w:before="240"/>
        <w:ind w:left="425"/>
      </w:pPr>
      <w:r w:rsidRPr="00384108">
        <w:t xml:space="preserve">Neve: </w:t>
      </w:r>
      <w:r w:rsidR="005C340E" w:rsidRPr="00384108">
        <w:t>UniCredit Bank Hungary Zrt.</w:t>
      </w:r>
    </w:p>
    <w:p w:rsidR="004F1B5D" w:rsidRPr="00384108" w:rsidRDefault="004F1B5D" w:rsidP="008A619D">
      <w:pPr>
        <w:spacing w:before="240"/>
        <w:ind w:left="425"/>
      </w:pPr>
      <w:r w:rsidRPr="00384108">
        <w:t>Cégforma: zár</w:t>
      </w:r>
      <w:r w:rsidR="007D35BD" w:rsidRPr="00384108">
        <w:t>tkörűen működő részvénytársaság</w:t>
      </w:r>
    </w:p>
    <w:p w:rsidR="004F1B5D" w:rsidRPr="00D77120" w:rsidRDefault="004F1B5D" w:rsidP="008A619D">
      <w:pPr>
        <w:spacing w:before="240"/>
        <w:ind w:left="425"/>
      </w:pPr>
      <w:r w:rsidRPr="00384108">
        <w:t xml:space="preserve">Cégbejegyzés száma: </w:t>
      </w:r>
      <w:r w:rsidR="007D35BD" w:rsidRPr="00384108">
        <w:t>01-10-041348</w:t>
      </w:r>
    </w:p>
    <w:p w:rsidR="008902FB" w:rsidRPr="00D77120" w:rsidRDefault="008902FB" w:rsidP="008A619D">
      <w:pPr>
        <w:pStyle w:val="Cmsor2"/>
        <w:keepLines w:val="0"/>
        <w:numPr>
          <w:ilvl w:val="0"/>
          <w:numId w:val="32"/>
        </w:numPr>
        <w:rPr>
          <w:u w:val="single"/>
        </w:rPr>
      </w:pPr>
      <w:bookmarkStart w:id="129" w:name="_Toc349832373"/>
      <w:r w:rsidRPr="00D77120">
        <w:rPr>
          <w:u w:val="single"/>
        </w:rPr>
        <w:t>A könyvvizsgálóra vonatkozó alapinformációk (cégnév, cégforma, cégjegyzékszám)</w:t>
      </w:r>
      <w:bookmarkEnd w:id="129"/>
    </w:p>
    <w:p w:rsidR="004F1B5D" w:rsidRPr="00823914" w:rsidRDefault="004F1B5D" w:rsidP="008A619D">
      <w:pPr>
        <w:spacing w:before="240"/>
        <w:ind w:left="425"/>
      </w:pPr>
      <w:r w:rsidRPr="00823914">
        <w:t xml:space="preserve">Neve: </w:t>
      </w:r>
      <w:r w:rsidR="00823914" w:rsidRPr="00823914">
        <w:t>Könyv-Profit Könyvvizsgáló Kft.</w:t>
      </w:r>
    </w:p>
    <w:p w:rsidR="004F1B5D" w:rsidRPr="00823914" w:rsidRDefault="004F1B5D" w:rsidP="008A619D">
      <w:pPr>
        <w:spacing w:before="240"/>
        <w:ind w:left="425"/>
      </w:pPr>
      <w:r w:rsidRPr="00823914">
        <w:t>Cégforma: korlátolt felelősségű társaság</w:t>
      </w:r>
    </w:p>
    <w:p w:rsidR="004F1B5D" w:rsidRPr="00D77120" w:rsidRDefault="004F1B5D" w:rsidP="008A619D">
      <w:pPr>
        <w:spacing w:before="240"/>
        <w:ind w:left="425"/>
      </w:pPr>
      <w:r w:rsidRPr="00823914">
        <w:t xml:space="preserve">Cégbejegyzés száma: </w:t>
      </w:r>
      <w:r w:rsidR="00823914" w:rsidRPr="00823914">
        <w:t>01-09-269076</w:t>
      </w:r>
    </w:p>
    <w:p w:rsidR="008902FB" w:rsidRPr="00D77120" w:rsidRDefault="009541BB" w:rsidP="008A619D">
      <w:pPr>
        <w:pStyle w:val="Cmsor2"/>
        <w:keepLines w:val="0"/>
        <w:numPr>
          <w:ilvl w:val="0"/>
          <w:numId w:val="32"/>
        </w:numPr>
        <w:rPr>
          <w:u w:val="single"/>
        </w:rPr>
      </w:pPr>
      <w:bookmarkStart w:id="130" w:name="_Toc349832374"/>
      <w:r w:rsidRPr="00D77120">
        <w:rPr>
          <w:u w:val="single"/>
        </w:rPr>
        <w:t>Az olyan tanácsadóra vonatkozó alapinformációk (cégnév, cégforma, cégjegyzékszám), amelynek díjazása a befektetési alap eszközeiből történik:</w:t>
      </w:r>
      <w:bookmarkEnd w:id="130"/>
    </w:p>
    <w:p w:rsidR="004F1B5D" w:rsidRPr="00D77120" w:rsidRDefault="00247A59" w:rsidP="008A619D">
      <w:pPr>
        <w:spacing w:before="240"/>
        <w:ind w:left="425"/>
      </w:pPr>
      <w:r w:rsidRPr="007D35BD">
        <w:t>Nem alkalmazandó.</w:t>
      </w:r>
    </w:p>
    <w:p w:rsidR="008902FB" w:rsidRPr="00D77120" w:rsidRDefault="009541BB" w:rsidP="008A619D">
      <w:pPr>
        <w:pStyle w:val="Cmsor2"/>
        <w:keepLines w:val="0"/>
        <w:numPr>
          <w:ilvl w:val="0"/>
          <w:numId w:val="32"/>
        </w:numPr>
        <w:rPr>
          <w:u w:val="single"/>
        </w:rPr>
      </w:pPr>
      <w:bookmarkStart w:id="131" w:name="_Toc349832375"/>
      <w:r w:rsidRPr="00D77120">
        <w:rPr>
          <w:u w:val="single"/>
        </w:rPr>
        <w:t>A forgalmazóra vonatkozó alapinformációk (cégnév, cégforma, cégjegyzékszám)</w:t>
      </w:r>
      <w:r w:rsidR="008902FB" w:rsidRPr="00D77120">
        <w:rPr>
          <w:u w:val="single"/>
        </w:rPr>
        <w:t>:</w:t>
      </w:r>
      <w:bookmarkEnd w:id="131"/>
    </w:p>
    <w:p w:rsidR="004F1B5D" w:rsidRPr="007D35BD" w:rsidRDefault="004F1B5D" w:rsidP="008A619D">
      <w:pPr>
        <w:spacing w:before="240"/>
        <w:ind w:left="425"/>
      </w:pPr>
      <w:r w:rsidRPr="007D35BD">
        <w:t>Neve: Concorde Értékpapír Zártkörűen Működő Részvénytársaság</w:t>
      </w:r>
    </w:p>
    <w:p w:rsidR="004F1B5D" w:rsidRPr="007D35BD" w:rsidRDefault="004F1B5D" w:rsidP="008A619D">
      <w:pPr>
        <w:spacing w:before="240"/>
        <w:ind w:left="425"/>
      </w:pPr>
      <w:r w:rsidRPr="007D35BD">
        <w:t>Cégforma: zártkörűen működő részvénytársaság</w:t>
      </w:r>
    </w:p>
    <w:p w:rsidR="004F1B5D" w:rsidRPr="00D77120" w:rsidRDefault="004F1B5D" w:rsidP="008A619D">
      <w:pPr>
        <w:spacing w:before="240"/>
        <w:ind w:left="425"/>
      </w:pPr>
      <w:r w:rsidRPr="007D35BD">
        <w:t>Cégbejegyzés száma: 01-10-043521</w:t>
      </w:r>
    </w:p>
    <w:p w:rsidR="008902FB" w:rsidRPr="00D77120" w:rsidRDefault="009541BB" w:rsidP="008A619D">
      <w:pPr>
        <w:pStyle w:val="Cmsor2"/>
        <w:keepLines w:val="0"/>
        <w:numPr>
          <w:ilvl w:val="0"/>
          <w:numId w:val="32"/>
        </w:numPr>
        <w:rPr>
          <w:u w:val="single"/>
        </w:rPr>
      </w:pPr>
      <w:bookmarkStart w:id="132" w:name="_Toc349832376"/>
      <w:r w:rsidRPr="00D77120">
        <w:rPr>
          <w:u w:val="single"/>
        </w:rPr>
        <w:t>Az ingatlanértékelőre vonatkozó alapinformác</w:t>
      </w:r>
      <w:r w:rsidR="006A40E9" w:rsidRPr="00D77120">
        <w:rPr>
          <w:u w:val="single"/>
        </w:rPr>
        <w:t>iók (cégnév, cégforma</w:t>
      </w:r>
      <w:r w:rsidRPr="00D77120">
        <w:rPr>
          <w:u w:val="single"/>
        </w:rPr>
        <w:t>,</w:t>
      </w:r>
      <w:r w:rsidR="006A40E9" w:rsidRPr="00D77120">
        <w:rPr>
          <w:u w:val="single"/>
        </w:rPr>
        <w:t xml:space="preserve"> </w:t>
      </w:r>
      <w:r w:rsidRPr="00D77120">
        <w:rPr>
          <w:u w:val="single"/>
        </w:rPr>
        <w:t>cégjegyzékszám)</w:t>
      </w:r>
      <w:r w:rsidR="008902FB" w:rsidRPr="00D77120">
        <w:rPr>
          <w:u w:val="single"/>
        </w:rPr>
        <w:t>:</w:t>
      </w:r>
      <w:bookmarkEnd w:id="132"/>
    </w:p>
    <w:p w:rsidR="004F1B5D" w:rsidRPr="00156D0B" w:rsidRDefault="00247A59" w:rsidP="00156D0B">
      <w:pPr>
        <w:spacing w:before="240"/>
        <w:ind w:left="425"/>
      </w:pPr>
      <w:r w:rsidRPr="00156D0B">
        <w:t>Nem alkalmazandó.</w:t>
      </w:r>
    </w:p>
    <w:p w:rsidR="009F1C94" w:rsidRPr="00D77120" w:rsidRDefault="009F1C94" w:rsidP="00E95B91">
      <w:pPr>
        <w:pStyle w:val="Cmsor1"/>
        <w:rPr>
          <w:color w:val="000000"/>
          <w:sz w:val="16"/>
          <w:szCs w:val="16"/>
        </w:rPr>
      </w:pPr>
    </w:p>
    <w:p w:rsidR="009F1C94" w:rsidRPr="00D77120" w:rsidRDefault="009F1C94" w:rsidP="002D723E"/>
    <w:p w:rsidR="009F1C94" w:rsidRPr="00D77120" w:rsidRDefault="009F1C94" w:rsidP="002D723E"/>
    <w:p w:rsidR="009F1C94" w:rsidRPr="00D77120" w:rsidRDefault="009F1C94" w:rsidP="002D723E">
      <w:r w:rsidRPr="00D77120">
        <w:t>Budapest, 201</w:t>
      </w:r>
      <w:r w:rsidR="00247A59">
        <w:t>3</w:t>
      </w:r>
      <w:r w:rsidRPr="00D77120">
        <w:t xml:space="preserve">. </w:t>
      </w:r>
      <w:r w:rsidR="006B6AC1">
        <w:t>május</w:t>
      </w:r>
      <w:r w:rsidR="00E06BC1" w:rsidRPr="00D77120">
        <w:t xml:space="preserve"> </w:t>
      </w:r>
      <w:r w:rsidR="00351254">
        <w:t>1</w:t>
      </w:r>
      <w:r w:rsidR="006B6AC1">
        <w:t>5</w:t>
      </w:r>
      <w:bookmarkStart w:id="133" w:name="_GoBack"/>
      <w:bookmarkEnd w:id="133"/>
      <w:r w:rsidRPr="00D77120">
        <w:t xml:space="preserve">. </w:t>
      </w:r>
    </w:p>
    <w:p w:rsidR="009F1C94" w:rsidRPr="00D77120" w:rsidRDefault="009F1C94" w:rsidP="002D723E"/>
    <w:p w:rsidR="009F1C94" w:rsidRPr="00D77120" w:rsidRDefault="009F1C94" w:rsidP="002D723E"/>
    <w:p w:rsidR="009F1C94" w:rsidRPr="00D77120" w:rsidRDefault="009F1C94" w:rsidP="002D723E"/>
    <w:p w:rsidR="009F1C94" w:rsidRPr="00D77120" w:rsidRDefault="009F1C94" w:rsidP="002B39BF">
      <w:pPr>
        <w:pStyle w:val="Cmsor7"/>
        <w:tabs>
          <w:tab w:val="left" w:pos="284"/>
          <w:tab w:val="left" w:pos="2552"/>
          <w:tab w:val="left" w:pos="6379"/>
          <w:tab w:val="right" w:pos="10915"/>
        </w:tabs>
        <w:ind w:leftChars="2268" w:left="3629"/>
        <w:jc w:val="center"/>
        <w:rPr>
          <w:u w:val="none"/>
        </w:rPr>
      </w:pPr>
      <w:r w:rsidRPr="00D77120">
        <w:rPr>
          <w:u w:val="none"/>
        </w:rPr>
        <w:t>Bilibók Botond</w:t>
      </w:r>
    </w:p>
    <w:p w:rsidR="009F1C94" w:rsidRPr="00D77120" w:rsidRDefault="009F1C94" w:rsidP="002B39BF">
      <w:pPr>
        <w:pStyle w:val="Trgymutatcm"/>
        <w:tabs>
          <w:tab w:val="left" w:pos="567"/>
          <w:tab w:val="left" w:pos="2977"/>
          <w:tab w:val="right" w:pos="3261"/>
          <w:tab w:val="left" w:pos="5103"/>
          <w:tab w:val="left" w:pos="6379"/>
        </w:tabs>
        <w:ind w:leftChars="2268" w:left="3629"/>
        <w:jc w:val="center"/>
      </w:pPr>
      <w:r w:rsidRPr="00D77120">
        <w:t>vezérigazgató</w:t>
      </w:r>
    </w:p>
    <w:p w:rsidR="009F1C94" w:rsidRPr="00E261CF" w:rsidRDefault="009F1C94" w:rsidP="002B39BF">
      <w:pPr>
        <w:pStyle w:val="Trgymutat1"/>
        <w:ind w:leftChars="2268" w:left="3829"/>
        <w:jc w:val="center"/>
        <w:sectPr w:rsidR="009F1C94" w:rsidRPr="00E261CF" w:rsidSect="00347F9D">
          <w:headerReference w:type="even" r:id="rId10"/>
          <w:headerReference w:type="default" r:id="rId11"/>
          <w:footerReference w:type="default" r:id="rId12"/>
          <w:type w:val="continuous"/>
          <w:pgSz w:w="11907" w:h="16834" w:code="1032"/>
          <w:pgMar w:top="1418" w:right="1418" w:bottom="1418" w:left="1418" w:header="708" w:footer="708" w:gutter="0"/>
          <w:cols w:space="708"/>
          <w:titlePg/>
        </w:sectPr>
      </w:pPr>
      <w:r w:rsidRPr="00D77120">
        <w:t>Concorde Alapkezelő zrt.</w:t>
      </w:r>
      <w:r w:rsidRPr="00D77120" w:rsidDel="00347F9D">
        <w:t xml:space="preserve"> </w:t>
      </w:r>
    </w:p>
    <w:p w:rsidR="009F1C94" w:rsidRPr="00E261CF" w:rsidRDefault="009F1C94" w:rsidP="006B7134">
      <w:pPr>
        <w:pStyle w:val="alap1"/>
        <w:spacing w:before="120" w:after="120"/>
        <w:jc w:val="right"/>
      </w:pPr>
    </w:p>
    <w:sectPr w:rsidR="009F1C94" w:rsidRPr="00E261CF" w:rsidSect="003B5ED8">
      <w:headerReference w:type="default" r:id="rId13"/>
      <w:footerReference w:type="default" r:id="rId14"/>
      <w:type w:val="continuous"/>
      <w:pgSz w:w="11907" w:h="16834" w:code="1032"/>
      <w:pgMar w:top="1418" w:right="1418" w:bottom="1418" w:left="1418"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DE1" w:rsidRDefault="00406DE1"/>
    <w:p w:rsidR="00406DE1" w:rsidRDefault="00406DE1" w:rsidP="00A867EA"/>
    <w:p w:rsidR="00406DE1" w:rsidRDefault="00406DE1"/>
    <w:p w:rsidR="00406DE1" w:rsidRDefault="00406DE1" w:rsidP="002549FF"/>
    <w:p w:rsidR="00406DE1" w:rsidRDefault="00406DE1"/>
    <w:p w:rsidR="00406DE1" w:rsidRDefault="00406DE1"/>
    <w:p w:rsidR="00406DE1" w:rsidRDefault="00406DE1" w:rsidP="00951274"/>
    <w:p w:rsidR="00406DE1" w:rsidRDefault="00406DE1" w:rsidP="00951274"/>
    <w:p w:rsidR="00406DE1" w:rsidRDefault="00406DE1" w:rsidP="00BF67EA"/>
    <w:p w:rsidR="00406DE1" w:rsidRDefault="00406DE1"/>
    <w:p w:rsidR="00406DE1" w:rsidRDefault="00406DE1"/>
    <w:p w:rsidR="00406DE1" w:rsidRDefault="00406DE1" w:rsidP="00C3741F"/>
    <w:p w:rsidR="00406DE1" w:rsidRDefault="00406DE1"/>
    <w:p w:rsidR="00406DE1" w:rsidRDefault="00406DE1"/>
    <w:p w:rsidR="00406DE1" w:rsidRDefault="00406DE1"/>
    <w:p w:rsidR="00406DE1" w:rsidRDefault="00406DE1" w:rsidP="004912AD"/>
    <w:p w:rsidR="00406DE1" w:rsidRDefault="00406DE1" w:rsidP="004912AD"/>
    <w:p w:rsidR="00406DE1" w:rsidRDefault="00406DE1" w:rsidP="004912AD"/>
    <w:p w:rsidR="00406DE1" w:rsidRDefault="00406DE1" w:rsidP="009C16B2"/>
    <w:p w:rsidR="00406DE1" w:rsidRDefault="00406DE1"/>
    <w:p w:rsidR="00406DE1" w:rsidRDefault="00406DE1"/>
    <w:p w:rsidR="00406DE1" w:rsidRDefault="00406DE1" w:rsidP="002F149F"/>
    <w:p w:rsidR="00406DE1" w:rsidRDefault="00406DE1"/>
    <w:p w:rsidR="00406DE1" w:rsidRDefault="00406DE1" w:rsidP="00653809"/>
    <w:p w:rsidR="00406DE1" w:rsidRDefault="00406DE1" w:rsidP="00653809"/>
    <w:p w:rsidR="00406DE1" w:rsidRDefault="00406DE1"/>
    <w:p w:rsidR="00406DE1" w:rsidRDefault="00406DE1"/>
    <w:p w:rsidR="00406DE1" w:rsidRDefault="00406DE1"/>
    <w:p w:rsidR="00406DE1" w:rsidRDefault="00406DE1" w:rsidP="00565872"/>
    <w:p w:rsidR="00406DE1" w:rsidRDefault="00406DE1">
      <w:r>
        <w:continuationSeparator/>
      </w:r>
    </w:p>
    <w:p w:rsidR="00406DE1" w:rsidRDefault="00406DE1" w:rsidP="00565872"/>
    <w:p w:rsidR="00406DE1" w:rsidRDefault="00406DE1"/>
    <w:p w:rsidR="00406DE1" w:rsidRDefault="00406DE1" w:rsidP="00347527"/>
    <w:p w:rsidR="00406DE1" w:rsidRDefault="00406DE1" w:rsidP="00347527"/>
    <w:p w:rsidR="00406DE1" w:rsidRDefault="00406DE1"/>
    <w:p w:rsidR="00406DE1" w:rsidRDefault="00406DE1"/>
    <w:p w:rsidR="00406DE1" w:rsidRDefault="00406DE1"/>
    <w:p w:rsidR="00406DE1" w:rsidRDefault="00406DE1"/>
    <w:p w:rsidR="00406DE1" w:rsidRDefault="00406DE1"/>
    <w:p w:rsidR="00406DE1" w:rsidRDefault="00406DE1"/>
    <w:p w:rsidR="00406DE1" w:rsidRDefault="00406DE1"/>
    <w:p w:rsidR="00406DE1" w:rsidRDefault="00406DE1"/>
    <w:p w:rsidR="00406DE1" w:rsidRDefault="00406DE1" w:rsidP="005C24ED"/>
    <w:p w:rsidR="00406DE1" w:rsidRDefault="00406DE1" w:rsidP="005C24ED"/>
    <w:p w:rsidR="00406DE1" w:rsidRDefault="00406DE1" w:rsidP="005C24ED"/>
    <w:p w:rsidR="00406DE1" w:rsidRDefault="00406DE1" w:rsidP="005C24ED"/>
    <w:p w:rsidR="00406DE1" w:rsidRDefault="00406DE1" w:rsidP="005C24ED"/>
    <w:p w:rsidR="00406DE1" w:rsidRDefault="00406DE1" w:rsidP="005C24ED"/>
    <w:p w:rsidR="00406DE1" w:rsidRDefault="00406DE1" w:rsidP="0008140A"/>
    <w:p w:rsidR="00406DE1" w:rsidRDefault="00406DE1" w:rsidP="0008140A"/>
    <w:p w:rsidR="00406DE1" w:rsidRDefault="00406DE1" w:rsidP="0008140A"/>
    <w:p w:rsidR="00406DE1" w:rsidRDefault="00406DE1" w:rsidP="0008140A"/>
    <w:p w:rsidR="00406DE1" w:rsidRDefault="00406DE1" w:rsidP="0008140A"/>
    <w:p w:rsidR="00406DE1" w:rsidRDefault="00406DE1" w:rsidP="002826E4"/>
    <w:p w:rsidR="00406DE1" w:rsidRDefault="00406DE1" w:rsidP="00333B17"/>
    <w:p w:rsidR="00406DE1" w:rsidRDefault="00406DE1"/>
    <w:p w:rsidR="00406DE1" w:rsidRDefault="00406DE1" w:rsidP="0073584D"/>
    <w:p w:rsidR="00406DE1" w:rsidRDefault="00406DE1" w:rsidP="0073584D"/>
    <w:p w:rsidR="00406DE1" w:rsidRDefault="00406DE1" w:rsidP="0073584D"/>
    <w:p w:rsidR="00406DE1" w:rsidRDefault="00406DE1" w:rsidP="00105714"/>
    <w:p w:rsidR="00406DE1" w:rsidRDefault="00406DE1"/>
    <w:p w:rsidR="00406DE1" w:rsidRDefault="00406DE1" w:rsidP="007911AF"/>
    <w:p w:rsidR="00406DE1" w:rsidRDefault="00406DE1" w:rsidP="003C53EF"/>
    <w:p w:rsidR="00406DE1" w:rsidRDefault="00406DE1" w:rsidP="003C53EF"/>
    <w:p w:rsidR="00406DE1" w:rsidRDefault="00406DE1"/>
    <w:p w:rsidR="00406DE1" w:rsidRDefault="00406DE1" w:rsidP="00D97876"/>
    <w:p w:rsidR="00406DE1" w:rsidRDefault="00406DE1" w:rsidP="00D97876"/>
    <w:p w:rsidR="00406DE1" w:rsidRDefault="00406DE1" w:rsidP="00370112"/>
    <w:p w:rsidR="00406DE1" w:rsidRDefault="00406DE1"/>
    <w:p w:rsidR="00406DE1" w:rsidRDefault="00406DE1" w:rsidP="009701BC"/>
    <w:p w:rsidR="00406DE1" w:rsidRDefault="00406DE1"/>
    <w:p w:rsidR="00406DE1" w:rsidRDefault="00406DE1"/>
    <w:p w:rsidR="00406DE1" w:rsidRDefault="00406DE1" w:rsidP="007E0F55"/>
    <w:p w:rsidR="00406DE1" w:rsidRDefault="00406DE1"/>
    <w:p w:rsidR="00406DE1" w:rsidRDefault="00406DE1"/>
    <w:p w:rsidR="00406DE1" w:rsidRDefault="00406DE1" w:rsidP="00BE6326"/>
    <w:p w:rsidR="00406DE1" w:rsidRDefault="00406DE1" w:rsidP="000F63F4"/>
    <w:p w:rsidR="00406DE1" w:rsidRDefault="00406DE1" w:rsidP="000F63F4"/>
    <w:p w:rsidR="00406DE1" w:rsidRDefault="00406DE1" w:rsidP="000F63F4"/>
    <w:p w:rsidR="00406DE1" w:rsidRDefault="00406DE1" w:rsidP="000F63F4"/>
    <w:p w:rsidR="00406DE1" w:rsidRDefault="00406DE1" w:rsidP="000F63F4"/>
    <w:p w:rsidR="00406DE1" w:rsidRDefault="00406DE1" w:rsidP="006A40E9"/>
    <w:p w:rsidR="00406DE1" w:rsidRDefault="00406DE1" w:rsidP="008A619D"/>
    <w:p w:rsidR="00406DE1" w:rsidRDefault="00406DE1" w:rsidP="008A619D"/>
    <w:p w:rsidR="00406DE1" w:rsidRDefault="00406DE1" w:rsidP="008A619D"/>
    <w:p w:rsidR="00406DE1" w:rsidRDefault="00406DE1" w:rsidP="008A619D"/>
    <w:p w:rsidR="00406DE1" w:rsidRDefault="00406DE1" w:rsidP="008A619D"/>
    <w:p w:rsidR="00406DE1" w:rsidRDefault="00406DE1" w:rsidP="008A619D"/>
    <w:p w:rsidR="00406DE1" w:rsidRDefault="00406DE1" w:rsidP="00FC245C"/>
    <w:p w:rsidR="00406DE1" w:rsidRDefault="00406DE1" w:rsidP="00FC245C"/>
    <w:p w:rsidR="00406DE1" w:rsidRDefault="00406DE1" w:rsidP="00FE5F5C"/>
    <w:p w:rsidR="00406DE1" w:rsidRDefault="00406DE1"/>
    <w:p w:rsidR="00406DE1" w:rsidRDefault="00406DE1"/>
    <w:p w:rsidR="00406DE1" w:rsidRDefault="00406DE1"/>
    <w:p w:rsidR="00406DE1" w:rsidRDefault="00406DE1" w:rsidP="002B39BF"/>
    <w:p w:rsidR="00406DE1" w:rsidRDefault="00406DE1" w:rsidP="002B39BF"/>
    <w:p w:rsidR="00406DE1" w:rsidRDefault="00406DE1" w:rsidP="002B39BF"/>
    <w:p w:rsidR="00406DE1" w:rsidRDefault="00406DE1" w:rsidP="002B39BF"/>
    <w:p w:rsidR="00406DE1" w:rsidRDefault="00406DE1" w:rsidP="002B39BF"/>
    <w:p w:rsidR="00406DE1" w:rsidRDefault="00406DE1" w:rsidP="002B39BF"/>
    <w:p w:rsidR="00406DE1" w:rsidRDefault="00406DE1" w:rsidP="002B39BF"/>
    <w:p w:rsidR="00406DE1" w:rsidRDefault="00406DE1" w:rsidP="00920CB0"/>
    <w:p w:rsidR="00406DE1" w:rsidRDefault="00406DE1" w:rsidP="00920CB0"/>
    <w:p w:rsidR="00406DE1" w:rsidRDefault="00406DE1" w:rsidP="00920CB0"/>
    <w:p w:rsidR="00406DE1" w:rsidRDefault="00406DE1" w:rsidP="00920CB0"/>
    <w:p w:rsidR="00406DE1" w:rsidRDefault="00406DE1" w:rsidP="00780836"/>
  </w:endnote>
  <w:endnote w:type="continuationSeparator" w:id="0">
    <w:p w:rsidR="00406DE1" w:rsidRDefault="00406DE1"/>
    <w:p w:rsidR="00406DE1" w:rsidRDefault="00406DE1" w:rsidP="00A867EA"/>
    <w:p w:rsidR="00406DE1" w:rsidRDefault="00406DE1"/>
    <w:p w:rsidR="00406DE1" w:rsidRDefault="00406DE1" w:rsidP="002549FF"/>
    <w:p w:rsidR="00406DE1" w:rsidRDefault="00406DE1"/>
    <w:p w:rsidR="00406DE1" w:rsidRDefault="00406DE1"/>
    <w:p w:rsidR="00406DE1" w:rsidRDefault="00406DE1" w:rsidP="00951274"/>
    <w:p w:rsidR="00406DE1" w:rsidRDefault="00406DE1" w:rsidP="00951274"/>
    <w:p w:rsidR="00406DE1" w:rsidRDefault="00406DE1" w:rsidP="00BF67EA"/>
    <w:p w:rsidR="00406DE1" w:rsidRDefault="00406DE1"/>
    <w:p w:rsidR="00406DE1" w:rsidRDefault="00406DE1"/>
    <w:p w:rsidR="00406DE1" w:rsidRDefault="00406DE1" w:rsidP="00C3741F"/>
    <w:p w:rsidR="00406DE1" w:rsidRDefault="00406DE1"/>
    <w:p w:rsidR="00406DE1" w:rsidRDefault="00406DE1"/>
    <w:p w:rsidR="00406DE1" w:rsidRDefault="00406DE1"/>
    <w:p w:rsidR="00406DE1" w:rsidRDefault="00406DE1" w:rsidP="004912AD"/>
    <w:p w:rsidR="00406DE1" w:rsidRDefault="00406DE1" w:rsidP="004912AD"/>
    <w:p w:rsidR="00406DE1" w:rsidRDefault="00406DE1" w:rsidP="004912AD"/>
    <w:p w:rsidR="00406DE1" w:rsidRDefault="00406DE1" w:rsidP="009C16B2"/>
    <w:p w:rsidR="00406DE1" w:rsidRDefault="00406DE1"/>
    <w:p w:rsidR="00406DE1" w:rsidRDefault="00406DE1"/>
    <w:p w:rsidR="00406DE1" w:rsidRDefault="00406DE1" w:rsidP="002F149F"/>
    <w:p w:rsidR="00406DE1" w:rsidRDefault="00406DE1"/>
    <w:p w:rsidR="00406DE1" w:rsidRDefault="00406DE1" w:rsidP="00653809"/>
    <w:p w:rsidR="00406DE1" w:rsidRDefault="00406DE1" w:rsidP="00653809"/>
    <w:p w:rsidR="00406DE1" w:rsidRDefault="00406DE1"/>
    <w:p w:rsidR="00406DE1" w:rsidRDefault="00406DE1"/>
    <w:p w:rsidR="00406DE1" w:rsidRDefault="00406DE1"/>
    <w:p w:rsidR="00406DE1" w:rsidRDefault="00406DE1" w:rsidP="00565872"/>
    <w:p w:rsidR="00406DE1" w:rsidRDefault="00406DE1"/>
    <w:p w:rsidR="00406DE1" w:rsidRDefault="00406DE1" w:rsidP="00565872"/>
    <w:p w:rsidR="00406DE1" w:rsidRDefault="00406DE1"/>
    <w:p w:rsidR="00406DE1" w:rsidRDefault="00406DE1" w:rsidP="00347527"/>
    <w:p w:rsidR="00406DE1" w:rsidRDefault="00406DE1" w:rsidP="00347527"/>
    <w:p w:rsidR="00406DE1" w:rsidRPr="00E261CF" w:rsidRDefault="00406DE1" w:rsidP="002A593C">
      <w:pPr>
        <w:ind w:left="567"/>
      </w:pPr>
    </w:p>
    <w:p w:rsidR="00406DE1" w:rsidRDefault="00406DE1"/>
    <w:p w:rsidR="00406DE1" w:rsidRDefault="00406DE1"/>
    <w:p w:rsidR="00406DE1" w:rsidRDefault="00406DE1"/>
    <w:p w:rsidR="00406DE1" w:rsidRDefault="00406DE1"/>
    <w:p w:rsidR="00406DE1" w:rsidRDefault="00406DE1"/>
    <w:p w:rsidR="00406DE1" w:rsidRDefault="00406DE1"/>
    <w:p w:rsidR="00406DE1" w:rsidRDefault="00406DE1"/>
    <w:p w:rsidR="00406DE1" w:rsidRDefault="00406DE1" w:rsidP="005C24ED"/>
    <w:p w:rsidR="00406DE1" w:rsidRDefault="00406DE1" w:rsidP="005C24ED"/>
    <w:p w:rsidR="00406DE1" w:rsidRDefault="00406DE1" w:rsidP="005C24ED"/>
    <w:p w:rsidR="00406DE1" w:rsidRDefault="00406DE1" w:rsidP="005C24ED"/>
    <w:p w:rsidR="00406DE1" w:rsidRDefault="00406DE1" w:rsidP="005C24ED"/>
    <w:p w:rsidR="00406DE1" w:rsidRDefault="00406DE1" w:rsidP="005C24ED"/>
    <w:p w:rsidR="00406DE1" w:rsidRDefault="00406DE1" w:rsidP="0008140A"/>
    <w:p w:rsidR="00406DE1" w:rsidRDefault="00406DE1" w:rsidP="0008140A"/>
    <w:p w:rsidR="00406DE1" w:rsidRDefault="00406DE1" w:rsidP="0008140A"/>
    <w:p w:rsidR="00406DE1" w:rsidRDefault="00406DE1" w:rsidP="0008140A"/>
    <w:p w:rsidR="00406DE1" w:rsidRDefault="00406DE1" w:rsidP="0008140A"/>
    <w:p w:rsidR="00406DE1" w:rsidRDefault="00406DE1" w:rsidP="002826E4"/>
    <w:p w:rsidR="00406DE1" w:rsidRDefault="00406DE1" w:rsidP="00333B17"/>
    <w:p w:rsidR="00406DE1" w:rsidRDefault="00406DE1"/>
    <w:p w:rsidR="00406DE1" w:rsidRDefault="00406DE1" w:rsidP="0073584D"/>
    <w:p w:rsidR="00406DE1" w:rsidRDefault="00406DE1" w:rsidP="0073584D"/>
    <w:p w:rsidR="00406DE1" w:rsidRDefault="00406DE1" w:rsidP="0073584D"/>
    <w:p w:rsidR="00406DE1" w:rsidRDefault="00406DE1" w:rsidP="00105714"/>
    <w:p w:rsidR="00406DE1" w:rsidRDefault="00406DE1"/>
    <w:p w:rsidR="00406DE1" w:rsidRDefault="00406DE1" w:rsidP="007911AF"/>
    <w:p w:rsidR="00406DE1" w:rsidRDefault="00406DE1" w:rsidP="003C53EF"/>
    <w:p w:rsidR="00406DE1" w:rsidRDefault="00406DE1" w:rsidP="003C53EF"/>
    <w:p w:rsidR="00406DE1" w:rsidRDefault="00406DE1"/>
    <w:p w:rsidR="00406DE1" w:rsidRDefault="00406DE1" w:rsidP="00D97876"/>
    <w:p w:rsidR="00406DE1" w:rsidRDefault="00406DE1" w:rsidP="00D97876"/>
    <w:p w:rsidR="00406DE1" w:rsidRDefault="00406DE1" w:rsidP="00370112"/>
    <w:p w:rsidR="00406DE1" w:rsidRDefault="00406DE1"/>
    <w:p w:rsidR="00406DE1" w:rsidRDefault="00406DE1" w:rsidP="009701BC"/>
    <w:p w:rsidR="00406DE1" w:rsidRDefault="00406DE1"/>
    <w:p w:rsidR="00406DE1" w:rsidRDefault="00406DE1"/>
    <w:p w:rsidR="00406DE1" w:rsidRDefault="00406DE1" w:rsidP="007E0F55"/>
    <w:p w:rsidR="00406DE1" w:rsidRDefault="00406DE1"/>
    <w:p w:rsidR="00406DE1" w:rsidRDefault="00406DE1"/>
    <w:p w:rsidR="00406DE1" w:rsidRDefault="00406DE1" w:rsidP="00BE6326"/>
    <w:p w:rsidR="00406DE1" w:rsidRDefault="00406DE1" w:rsidP="000F63F4"/>
    <w:p w:rsidR="00406DE1" w:rsidRDefault="00406DE1" w:rsidP="000F63F4"/>
    <w:p w:rsidR="00406DE1" w:rsidRDefault="00406DE1" w:rsidP="000F63F4"/>
    <w:p w:rsidR="00406DE1" w:rsidRDefault="00406DE1" w:rsidP="000F63F4"/>
    <w:p w:rsidR="00406DE1" w:rsidRDefault="00406DE1" w:rsidP="000F63F4"/>
    <w:p w:rsidR="00406DE1" w:rsidRDefault="00406DE1" w:rsidP="006A40E9"/>
    <w:p w:rsidR="00406DE1" w:rsidRDefault="00406DE1" w:rsidP="008A619D"/>
    <w:p w:rsidR="00406DE1" w:rsidRDefault="00406DE1" w:rsidP="008A619D"/>
    <w:p w:rsidR="00406DE1" w:rsidRDefault="00406DE1" w:rsidP="008A619D"/>
    <w:p w:rsidR="00406DE1" w:rsidRDefault="00406DE1" w:rsidP="008A619D"/>
    <w:p w:rsidR="00406DE1" w:rsidRDefault="00406DE1" w:rsidP="008A619D"/>
    <w:p w:rsidR="00406DE1" w:rsidRDefault="00406DE1" w:rsidP="008A619D"/>
    <w:p w:rsidR="00406DE1" w:rsidRDefault="00406DE1" w:rsidP="00FC245C"/>
    <w:p w:rsidR="00406DE1" w:rsidRDefault="00406DE1" w:rsidP="00FC245C"/>
    <w:p w:rsidR="00406DE1" w:rsidRDefault="00406DE1" w:rsidP="00FE5F5C"/>
    <w:p w:rsidR="00406DE1" w:rsidRDefault="00406DE1"/>
    <w:p w:rsidR="00406DE1" w:rsidRDefault="00406DE1"/>
    <w:p w:rsidR="00406DE1" w:rsidRDefault="00406DE1"/>
    <w:p w:rsidR="00406DE1" w:rsidRDefault="00406DE1" w:rsidP="002B39BF"/>
    <w:p w:rsidR="00406DE1" w:rsidRDefault="00406DE1" w:rsidP="002B39BF"/>
    <w:p w:rsidR="00406DE1" w:rsidRDefault="00406DE1" w:rsidP="002B39BF"/>
    <w:p w:rsidR="00406DE1" w:rsidRDefault="00406DE1" w:rsidP="002B39BF"/>
    <w:p w:rsidR="00406DE1" w:rsidRDefault="00406DE1" w:rsidP="002B39BF"/>
    <w:p w:rsidR="00406DE1" w:rsidRDefault="00406DE1" w:rsidP="002B39BF"/>
    <w:p w:rsidR="00406DE1" w:rsidRDefault="00406DE1" w:rsidP="002B39BF"/>
    <w:p w:rsidR="00406DE1" w:rsidRDefault="00406DE1" w:rsidP="00920CB0"/>
    <w:p w:rsidR="00406DE1" w:rsidRDefault="00406DE1" w:rsidP="00920CB0"/>
    <w:p w:rsidR="00406DE1" w:rsidRDefault="00406DE1" w:rsidP="00920CB0"/>
    <w:p w:rsidR="00406DE1" w:rsidRDefault="00406DE1" w:rsidP="00920CB0"/>
    <w:p w:rsidR="00406DE1" w:rsidRDefault="00406DE1" w:rsidP="007808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_Orig Garamond BT">
    <w:panose1 w:val="02020602050306020403"/>
    <w:charset w:val="00"/>
    <w:family w:val="roman"/>
    <w:pitch w:val="variable"/>
    <w:sig w:usb0="00000087" w:usb1="00000000" w:usb2="00000000" w:usb3="00000000" w:csb0="0000001B"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H-Arial">
    <w:altName w:val="Arial"/>
    <w:panose1 w:val="00000000000000000000"/>
    <w:charset w:val="00"/>
    <w:family w:val="swiss"/>
    <w:notTrueType/>
    <w:pitch w:val="variable"/>
    <w:sig w:usb0="00000003" w:usb1="00000000" w:usb2="00000000" w:usb3="00000000" w:csb0="00000001" w:csb1="00000000"/>
  </w:font>
  <w:font w:name="HToronto">
    <w:panose1 w:val="00000000000000000000"/>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DE1" w:rsidRDefault="00406DE1">
    <w:pPr>
      <w:pStyle w:val="llb"/>
      <w:framePr w:wrap="auto"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6B6AC1">
      <w:rPr>
        <w:rStyle w:val="Oldalszm"/>
        <w:noProof/>
      </w:rPr>
      <w:t>41</w:t>
    </w:r>
    <w:r>
      <w:rPr>
        <w:rStyle w:val="Oldalszm"/>
      </w:rPr>
      <w:fldChar w:fldCharType="end"/>
    </w:r>
  </w:p>
  <w:p w:rsidR="00406DE1" w:rsidRDefault="00406DE1" w:rsidP="00B24AF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DE1" w:rsidRDefault="00406DE1">
    <w:pPr>
      <w:pStyle w:val="llb"/>
      <w:jc w:val="center"/>
    </w:pPr>
    <w:r>
      <w:fldChar w:fldCharType="begin"/>
    </w:r>
    <w:r>
      <w:instrText>PAGE   \* MERGEFORMAT</w:instrText>
    </w:r>
    <w:r>
      <w:fldChar w:fldCharType="separate"/>
    </w:r>
    <w:r>
      <w:rPr>
        <w:noProof/>
      </w:rPr>
      <w:t>43</w:t>
    </w:r>
    <w:r>
      <w:rPr>
        <w:noProof/>
      </w:rPr>
      <w:fldChar w:fldCharType="end"/>
    </w:r>
  </w:p>
  <w:p w:rsidR="00406DE1" w:rsidRDefault="00406DE1" w:rsidP="00844CDC"/>
  <w:p w:rsidR="00406DE1" w:rsidRDefault="00406DE1"/>
  <w:p w:rsidR="00406DE1" w:rsidRDefault="00406DE1" w:rsidP="007E0F55"/>
  <w:p w:rsidR="00406DE1" w:rsidRDefault="00406DE1"/>
  <w:p w:rsidR="00406DE1" w:rsidRDefault="00406DE1"/>
  <w:p w:rsidR="00406DE1" w:rsidRDefault="00406DE1" w:rsidP="00BE6326"/>
  <w:p w:rsidR="00406DE1" w:rsidRDefault="00406DE1" w:rsidP="000F63F4"/>
  <w:p w:rsidR="00406DE1" w:rsidRDefault="00406DE1" w:rsidP="000F63F4"/>
  <w:p w:rsidR="00406DE1" w:rsidRDefault="00406DE1" w:rsidP="000F63F4"/>
  <w:p w:rsidR="00406DE1" w:rsidRDefault="00406DE1" w:rsidP="000F63F4"/>
  <w:p w:rsidR="00406DE1" w:rsidRDefault="00406DE1" w:rsidP="000F63F4"/>
  <w:p w:rsidR="00406DE1" w:rsidRDefault="00406DE1" w:rsidP="006A40E9"/>
  <w:p w:rsidR="00406DE1" w:rsidRDefault="00406DE1" w:rsidP="008A619D"/>
  <w:p w:rsidR="00406DE1" w:rsidRDefault="00406DE1" w:rsidP="008A619D"/>
  <w:p w:rsidR="00406DE1" w:rsidRDefault="00406DE1" w:rsidP="008A619D"/>
  <w:p w:rsidR="00406DE1" w:rsidRDefault="00406DE1" w:rsidP="008A619D"/>
  <w:p w:rsidR="00406DE1" w:rsidRDefault="00406DE1" w:rsidP="008A619D"/>
  <w:p w:rsidR="00406DE1" w:rsidRDefault="00406DE1" w:rsidP="008A619D"/>
  <w:p w:rsidR="00406DE1" w:rsidRDefault="00406DE1" w:rsidP="00FC245C"/>
  <w:p w:rsidR="00406DE1" w:rsidRDefault="00406DE1" w:rsidP="00FC245C"/>
  <w:p w:rsidR="00406DE1" w:rsidRDefault="00406DE1" w:rsidP="00FE5F5C"/>
  <w:p w:rsidR="00406DE1" w:rsidRDefault="00406DE1"/>
  <w:p w:rsidR="00406DE1" w:rsidRDefault="00406DE1"/>
  <w:p w:rsidR="00406DE1" w:rsidRDefault="00406DE1"/>
  <w:p w:rsidR="00406DE1" w:rsidRDefault="00406DE1" w:rsidP="002B39BF"/>
  <w:p w:rsidR="00406DE1" w:rsidRDefault="00406DE1" w:rsidP="002B39BF"/>
  <w:p w:rsidR="00406DE1" w:rsidRDefault="00406DE1" w:rsidP="002B39BF"/>
  <w:p w:rsidR="00406DE1" w:rsidRDefault="00406DE1" w:rsidP="002B39BF"/>
  <w:p w:rsidR="00406DE1" w:rsidRDefault="00406DE1" w:rsidP="002B39BF"/>
  <w:p w:rsidR="00406DE1" w:rsidRDefault="00406DE1" w:rsidP="002B39BF"/>
  <w:p w:rsidR="00406DE1" w:rsidRDefault="00406DE1" w:rsidP="002B39BF"/>
  <w:p w:rsidR="00406DE1" w:rsidRDefault="00406DE1" w:rsidP="00920CB0"/>
  <w:p w:rsidR="00406DE1" w:rsidRDefault="00406DE1" w:rsidP="00920CB0"/>
  <w:p w:rsidR="00406DE1" w:rsidRDefault="00406DE1" w:rsidP="00920CB0"/>
  <w:p w:rsidR="00406DE1" w:rsidRDefault="00406DE1" w:rsidP="00920CB0"/>
  <w:p w:rsidR="00406DE1" w:rsidRDefault="00406DE1" w:rsidP="0078083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DE1" w:rsidRDefault="00406DE1"/>
    <w:p w:rsidR="00406DE1" w:rsidRDefault="00406DE1" w:rsidP="00A867EA"/>
    <w:p w:rsidR="00406DE1" w:rsidRDefault="00406DE1"/>
    <w:p w:rsidR="00406DE1" w:rsidRDefault="00406DE1" w:rsidP="002549FF"/>
    <w:p w:rsidR="00406DE1" w:rsidRDefault="00406DE1"/>
    <w:p w:rsidR="00406DE1" w:rsidRDefault="00406DE1"/>
    <w:p w:rsidR="00406DE1" w:rsidRDefault="00406DE1" w:rsidP="00951274"/>
    <w:p w:rsidR="00406DE1" w:rsidRDefault="00406DE1" w:rsidP="00951274"/>
    <w:p w:rsidR="00406DE1" w:rsidRDefault="00406DE1" w:rsidP="00BF67EA"/>
    <w:p w:rsidR="00406DE1" w:rsidRDefault="00406DE1"/>
    <w:p w:rsidR="00406DE1" w:rsidRDefault="00406DE1"/>
    <w:p w:rsidR="00406DE1" w:rsidRDefault="00406DE1" w:rsidP="00C3741F"/>
    <w:p w:rsidR="00406DE1" w:rsidRDefault="00406DE1"/>
    <w:p w:rsidR="00406DE1" w:rsidRDefault="00406DE1"/>
    <w:p w:rsidR="00406DE1" w:rsidRDefault="00406DE1"/>
    <w:p w:rsidR="00406DE1" w:rsidRDefault="00406DE1" w:rsidP="004912AD"/>
    <w:p w:rsidR="00406DE1" w:rsidRDefault="00406DE1" w:rsidP="004912AD"/>
    <w:p w:rsidR="00406DE1" w:rsidRDefault="00406DE1" w:rsidP="004912AD"/>
    <w:p w:rsidR="00406DE1" w:rsidRDefault="00406DE1" w:rsidP="009C16B2"/>
    <w:p w:rsidR="00406DE1" w:rsidRDefault="00406DE1"/>
    <w:p w:rsidR="00406DE1" w:rsidRDefault="00406DE1"/>
    <w:p w:rsidR="00406DE1" w:rsidRDefault="00406DE1" w:rsidP="002F149F"/>
    <w:p w:rsidR="00406DE1" w:rsidRDefault="00406DE1"/>
    <w:p w:rsidR="00406DE1" w:rsidRDefault="00406DE1" w:rsidP="00653809"/>
    <w:p w:rsidR="00406DE1" w:rsidRDefault="00406DE1" w:rsidP="00653809"/>
    <w:p w:rsidR="00406DE1" w:rsidRDefault="00406DE1"/>
    <w:p w:rsidR="00406DE1" w:rsidRDefault="00406DE1"/>
    <w:p w:rsidR="00406DE1" w:rsidRDefault="00406DE1"/>
    <w:p w:rsidR="00406DE1" w:rsidRDefault="00406DE1" w:rsidP="00565872"/>
    <w:p w:rsidR="00406DE1" w:rsidRDefault="00406DE1">
      <w:r>
        <w:continuationSeparator/>
      </w:r>
    </w:p>
    <w:p w:rsidR="00406DE1" w:rsidRDefault="00406DE1" w:rsidP="00565872"/>
    <w:p w:rsidR="00406DE1" w:rsidRDefault="00406DE1"/>
    <w:p w:rsidR="00406DE1" w:rsidRDefault="00406DE1" w:rsidP="00347527"/>
    <w:p w:rsidR="00406DE1" w:rsidRDefault="00406DE1" w:rsidP="00347527"/>
    <w:p w:rsidR="00406DE1" w:rsidRDefault="00406DE1"/>
    <w:p w:rsidR="00406DE1" w:rsidRDefault="00406DE1"/>
    <w:p w:rsidR="00406DE1" w:rsidRDefault="00406DE1"/>
    <w:p w:rsidR="00406DE1" w:rsidRDefault="00406DE1"/>
    <w:p w:rsidR="00406DE1" w:rsidRDefault="00406DE1"/>
    <w:p w:rsidR="00406DE1" w:rsidRDefault="00406DE1"/>
    <w:p w:rsidR="00406DE1" w:rsidRDefault="00406DE1"/>
    <w:p w:rsidR="00406DE1" w:rsidRDefault="00406DE1"/>
    <w:p w:rsidR="00406DE1" w:rsidRDefault="00406DE1" w:rsidP="005C24ED"/>
    <w:p w:rsidR="00406DE1" w:rsidRDefault="00406DE1" w:rsidP="005C24ED"/>
    <w:p w:rsidR="00406DE1" w:rsidRDefault="00406DE1" w:rsidP="005C24ED"/>
    <w:p w:rsidR="00406DE1" w:rsidRDefault="00406DE1" w:rsidP="005C24ED"/>
    <w:p w:rsidR="00406DE1" w:rsidRDefault="00406DE1" w:rsidP="005C24ED"/>
    <w:p w:rsidR="00406DE1" w:rsidRDefault="00406DE1" w:rsidP="005C24ED"/>
    <w:p w:rsidR="00406DE1" w:rsidRDefault="00406DE1" w:rsidP="0008140A"/>
    <w:p w:rsidR="00406DE1" w:rsidRDefault="00406DE1" w:rsidP="0008140A"/>
    <w:p w:rsidR="00406DE1" w:rsidRDefault="00406DE1" w:rsidP="0008140A"/>
    <w:p w:rsidR="00406DE1" w:rsidRDefault="00406DE1" w:rsidP="0008140A"/>
    <w:p w:rsidR="00406DE1" w:rsidRDefault="00406DE1" w:rsidP="0008140A"/>
    <w:p w:rsidR="00406DE1" w:rsidRDefault="00406DE1" w:rsidP="002826E4"/>
    <w:p w:rsidR="00406DE1" w:rsidRDefault="00406DE1" w:rsidP="00333B17"/>
    <w:p w:rsidR="00406DE1" w:rsidRDefault="00406DE1"/>
    <w:p w:rsidR="00406DE1" w:rsidRDefault="00406DE1" w:rsidP="0073584D"/>
    <w:p w:rsidR="00406DE1" w:rsidRDefault="00406DE1" w:rsidP="0073584D"/>
    <w:p w:rsidR="00406DE1" w:rsidRDefault="00406DE1" w:rsidP="0073584D"/>
    <w:p w:rsidR="00406DE1" w:rsidRDefault="00406DE1" w:rsidP="00105714"/>
    <w:p w:rsidR="00406DE1" w:rsidRDefault="00406DE1"/>
    <w:p w:rsidR="00406DE1" w:rsidRDefault="00406DE1" w:rsidP="007911AF"/>
    <w:p w:rsidR="00406DE1" w:rsidRDefault="00406DE1" w:rsidP="003C53EF"/>
    <w:p w:rsidR="00406DE1" w:rsidRDefault="00406DE1" w:rsidP="003C53EF"/>
    <w:p w:rsidR="00406DE1" w:rsidRDefault="00406DE1"/>
    <w:p w:rsidR="00406DE1" w:rsidRDefault="00406DE1" w:rsidP="00D97876"/>
    <w:p w:rsidR="00406DE1" w:rsidRDefault="00406DE1" w:rsidP="00D97876"/>
    <w:p w:rsidR="00406DE1" w:rsidRDefault="00406DE1" w:rsidP="00370112"/>
    <w:p w:rsidR="00406DE1" w:rsidRDefault="00406DE1"/>
    <w:p w:rsidR="00406DE1" w:rsidRDefault="00406DE1" w:rsidP="009701BC"/>
    <w:p w:rsidR="00406DE1" w:rsidRDefault="00406DE1"/>
    <w:p w:rsidR="00406DE1" w:rsidRDefault="00406DE1"/>
    <w:p w:rsidR="00406DE1" w:rsidRDefault="00406DE1" w:rsidP="007E0F55"/>
    <w:p w:rsidR="00406DE1" w:rsidRDefault="00406DE1"/>
    <w:p w:rsidR="00406DE1" w:rsidRDefault="00406DE1"/>
    <w:p w:rsidR="00406DE1" w:rsidRDefault="00406DE1" w:rsidP="00BE6326"/>
    <w:p w:rsidR="00406DE1" w:rsidRDefault="00406DE1" w:rsidP="000F63F4"/>
    <w:p w:rsidR="00406DE1" w:rsidRDefault="00406DE1" w:rsidP="000F63F4"/>
    <w:p w:rsidR="00406DE1" w:rsidRDefault="00406DE1" w:rsidP="000F63F4"/>
    <w:p w:rsidR="00406DE1" w:rsidRDefault="00406DE1" w:rsidP="000F63F4"/>
    <w:p w:rsidR="00406DE1" w:rsidRDefault="00406DE1" w:rsidP="000F63F4"/>
    <w:p w:rsidR="00406DE1" w:rsidRDefault="00406DE1" w:rsidP="006A40E9"/>
    <w:p w:rsidR="00406DE1" w:rsidRDefault="00406DE1" w:rsidP="008A619D"/>
    <w:p w:rsidR="00406DE1" w:rsidRDefault="00406DE1" w:rsidP="008A619D"/>
    <w:p w:rsidR="00406DE1" w:rsidRDefault="00406DE1" w:rsidP="008A619D"/>
    <w:p w:rsidR="00406DE1" w:rsidRDefault="00406DE1" w:rsidP="008A619D"/>
    <w:p w:rsidR="00406DE1" w:rsidRDefault="00406DE1" w:rsidP="008A619D"/>
    <w:p w:rsidR="00406DE1" w:rsidRDefault="00406DE1" w:rsidP="008A619D"/>
    <w:p w:rsidR="00406DE1" w:rsidRDefault="00406DE1" w:rsidP="00FC245C"/>
    <w:p w:rsidR="00406DE1" w:rsidRDefault="00406DE1" w:rsidP="00FC245C"/>
    <w:p w:rsidR="00406DE1" w:rsidRDefault="00406DE1" w:rsidP="00FE5F5C"/>
    <w:p w:rsidR="00406DE1" w:rsidRDefault="00406DE1"/>
    <w:p w:rsidR="00406DE1" w:rsidRDefault="00406DE1"/>
    <w:p w:rsidR="00406DE1" w:rsidRDefault="00406DE1"/>
    <w:p w:rsidR="00406DE1" w:rsidRDefault="00406DE1" w:rsidP="002B39BF"/>
    <w:p w:rsidR="00406DE1" w:rsidRDefault="00406DE1" w:rsidP="002B39BF"/>
    <w:p w:rsidR="00406DE1" w:rsidRDefault="00406DE1" w:rsidP="002B39BF"/>
    <w:p w:rsidR="00406DE1" w:rsidRDefault="00406DE1" w:rsidP="002B39BF"/>
    <w:p w:rsidR="00406DE1" w:rsidRDefault="00406DE1" w:rsidP="002B39BF"/>
    <w:p w:rsidR="00406DE1" w:rsidRDefault="00406DE1" w:rsidP="002B39BF"/>
    <w:p w:rsidR="00406DE1" w:rsidRDefault="00406DE1" w:rsidP="002B39BF"/>
    <w:p w:rsidR="00406DE1" w:rsidRDefault="00406DE1" w:rsidP="00920CB0"/>
    <w:p w:rsidR="00406DE1" w:rsidRDefault="00406DE1" w:rsidP="00920CB0"/>
    <w:p w:rsidR="00406DE1" w:rsidRDefault="00406DE1" w:rsidP="00920CB0"/>
    <w:p w:rsidR="00406DE1" w:rsidRDefault="00406DE1" w:rsidP="00920CB0"/>
    <w:p w:rsidR="00406DE1" w:rsidRDefault="00406DE1" w:rsidP="00780836"/>
  </w:footnote>
  <w:footnote w:type="continuationSeparator" w:id="0">
    <w:p w:rsidR="00406DE1" w:rsidRDefault="00406DE1"/>
    <w:p w:rsidR="00406DE1" w:rsidRDefault="00406DE1" w:rsidP="00A867EA"/>
    <w:p w:rsidR="00406DE1" w:rsidRDefault="00406DE1"/>
    <w:p w:rsidR="00406DE1" w:rsidRDefault="00406DE1" w:rsidP="002549FF"/>
    <w:p w:rsidR="00406DE1" w:rsidRDefault="00406DE1"/>
    <w:p w:rsidR="00406DE1" w:rsidRDefault="00406DE1"/>
    <w:p w:rsidR="00406DE1" w:rsidRDefault="00406DE1" w:rsidP="00951274"/>
    <w:p w:rsidR="00406DE1" w:rsidRDefault="00406DE1" w:rsidP="00951274"/>
    <w:p w:rsidR="00406DE1" w:rsidRDefault="00406DE1" w:rsidP="00BF67EA"/>
    <w:p w:rsidR="00406DE1" w:rsidRDefault="00406DE1"/>
    <w:p w:rsidR="00406DE1" w:rsidRDefault="00406DE1"/>
    <w:p w:rsidR="00406DE1" w:rsidRDefault="00406DE1" w:rsidP="00C3741F"/>
    <w:p w:rsidR="00406DE1" w:rsidRDefault="00406DE1"/>
    <w:p w:rsidR="00406DE1" w:rsidRDefault="00406DE1"/>
    <w:p w:rsidR="00406DE1" w:rsidRDefault="00406DE1"/>
    <w:p w:rsidR="00406DE1" w:rsidRDefault="00406DE1" w:rsidP="004912AD"/>
    <w:p w:rsidR="00406DE1" w:rsidRDefault="00406DE1" w:rsidP="004912AD"/>
    <w:p w:rsidR="00406DE1" w:rsidRDefault="00406DE1" w:rsidP="004912AD"/>
    <w:p w:rsidR="00406DE1" w:rsidRDefault="00406DE1" w:rsidP="009C16B2"/>
    <w:p w:rsidR="00406DE1" w:rsidRDefault="00406DE1"/>
    <w:p w:rsidR="00406DE1" w:rsidRDefault="00406DE1"/>
    <w:p w:rsidR="00406DE1" w:rsidRDefault="00406DE1" w:rsidP="002F149F"/>
    <w:p w:rsidR="00406DE1" w:rsidRDefault="00406DE1"/>
    <w:p w:rsidR="00406DE1" w:rsidRDefault="00406DE1" w:rsidP="00653809"/>
    <w:p w:rsidR="00406DE1" w:rsidRDefault="00406DE1" w:rsidP="00653809"/>
    <w:p w:rsidR="00406DE1" w:rsidRDefault="00406DE1"/>
    <w:p w:rsidR="00406DE1" w:rsidRDefault="00406DE1"/>
    <w:p w:rsidR="00406DE1" w:rsidRDefault="00406DE1"/>
    <w:p w:rsidR="00406DE1" w:rsidRDefault="00406DE1" w:rsidP="00565872"/>
    <w:p w:rsidR="00406DE1" w:rsidRDefault="00406DE1">
      <w:r>
        <w:separator/>
      </w:r>
    </w:p>
    <w:p w:rsidR="00406DE1" w:rsidRDefault="00406DE1" w:rsidP="00565872"/>
    <w:p w:rsidR="00406DE1" w:rsidRDefault="00406DE1"/>
    <w:p w:rsidR="00406DE1" w:rsidRDefault="00406DE1" w:rsidP="00347527"/>
    <w:p w:rsidR="00406DE1" w:rsidRDefault="00406DE1" w:rsidP="00347527"/>
    <w:p w:rsidR="00406DE1" w:rsidRDefault="00406DE1"/>
    <w:p w:rsidR="00406DE1" w:rsidRDefault="00406DE1"/>
    <w:p w:rsidR="00406DE1" w:rsidRDefault="00406DE1"/>
    <w:p w:rsidR="00406DE1" w:rsidRDefault="00406DE1"/>
    <w:p w:rsidR="00406DE1" w:rsidRDefault="00406DE1"/>
    <w:p w:rsidR="00406DE1" w:rsidRDefault="00406DE1"/>
    <w:p w:rsidR="00406DE1" w:rsidRDefault="00406DE1"/>
    <w:p w:rsidR="00406DE1" w:rsidRDefault="00406DE1"/>
    <w:p w:rsidR="00406DE1" w:rsidRDefault="00406DE1" w:rsidP="005C24ED"/>
    <w:p w:rsidR="00406DE1" w:rsidRDefault="00406DE1" w:rsidP="005C24ED"/>
    <w:p w:rsidR="00406DE1" w:rsidRDefault="00406DE1" w:rsidP="005C24ED"/>
    <w:p w:rsidR="00406DE1" w:rsidRDefault="00406DE1" w:rsidP="005C24ED"/>
    <w:p w:rsidR="00406DE1" w:rsidRDefault="00406DE1" w:rsidP="005C24ED"/>
    <w:p w:rsidR="00406DE1" w:rsidRDefault="00406DE1" w:rsidP="005C24ED"/>
    <w:p w:rsidR="00406DE1" w:rsidRDefault="00406DE1" w:rsidP="0008140A"/>
    <w:p w:rsidR="00406DE1" w:rsidRDefault="00406DE1" w:rsidP="0008140A"/>
    <w:p w:rsidR="00406DE1" w:rsidRDefault="00406DE1" w:rsidP="0008140A"/>
    <w:p w:rsidR="00406DE1" w:rsidRDefault="00406DE1" w:rsidP="0008140A"/>
    <w:p w:rsidR="00406DE1" w:rsidRDefault="00406DE1" w:rsidP="0008140A"/>
    <w:p w:rsidR="00406DE1" w:rsidRDefault="00406DE1" w:rsidP="002826E4"/>
    <w:p w:rsidR="00406DE1" w:rsidRDefault="00406DE1" w:rsidP="00333B17"/>
    <w:p w:rsidR="00406DE1" w:rsidRDefault="00406DE1"/>
    <w:p w:rsidR="00406DE1" w:rsidRDefault="00406DE1" w:rsidP="0073584D"/>
    <w:p w:rsidR="00406DE1" w:rsidRDefault="00406DE1" w:rsidP="0073584D"/>
    <w:p w:rsidR="00406DE1" w:rsidRDefault="00406DE1" w:rsidP="0073584D"/>
    <w:p w:rsidR="00406DE1" w:rsidRDefault="00406DE1" w:rsidP="00105714"/>
    <w:p w:rsidR="00406DE1" w:rsidRDefault="00406DE1"/>
    <w:p w:rsidR="00406DE1" w:rsidRDefault="00406DE1" w:rsidP="007911AF"/>
    <w:p w:rsidR="00406DE1" w:rsidRDefault="00406DE1" w:rsidP="003C53EF"/>
    <w:p w:rsidR="00406DE1" w:rsidRDefault="00406DE1" w:rsidP="003C53EF"/>
    <w:p w:rsidR="00406DE1" w:rsidRDefault="00406DE1"/>
    <w:p w:rsidR="00406DE1" w:rsidRDefault="00406DE1" w:rsidP="00D97876"/>
    <w:p w:rsidR="00406DE1" w:rsidRDefault="00406DE1" w:rsidP="00D97876"/>
    <w:p w:rsidR="00406DE1" w:rsidRDefault="00406DE1" w:rsidP="00370112"/>
    <w:p w:rsidR="00406DE1" w:rsidRDefault="00406DE1"/>
    <w:p w:rsidR="00406DE1" w:rsidRDefault="00406DE1" w:rsidP="009701BC"/>
    <w:p w:rsidR="00406DE1" w:rsidRDefault="00406DE1"/>
    <w:p w:rsidR="00406DE1" w:rsidRDefault="00406DE1"/>
    <w:p w:rsidR="00406DE1" w:rsidRDefault="00406DE1" w:rsidP="007E0F55"/>
    <w:p w:rsidR="00406DE1" w:rsidRDefault="00406DE1"/>
    <w:p w:rsidR="00406DE1" w:rsidRDefault="00406DE1"/>
    <w:p w:rsidR="00406DE1" w:rsidRDefault="00406DE1" w:rsidP="00BE6326"/>
    <w:p w:rsidR="00406DE1" w:rsidRDefault="00406DE1" w:rsidP="000F63F4"/>
    <w:p w:rsidR="00406DE1" w:rsidRDefault="00406DE1" w:rsidP="000F63F4"/>
    <w:p w:rsidR="00406DE1" w:rsidRDefault="00406DE1" w:rsidP="000F63F4"/>
    <w:p w:rsidR="00406DE1" w:rsidRDefault="00406DE1" w:rsidP="000F63F4"/>
    <w:p w:rsidR="00406DE1" w:rsidRDefault="00406DE1" w:rsidP="000F63F4"/>
    <w:p w:rsidR="00406DE1" w:rsidRDefault="00406DE1" w:rsidP="006A40E9"/>
    <w:p w:rsidR="00406DE1" w:rsidRDefault="00406DE1" w:rsidP="008A619D"/>
    <w:p w:rsidR="00406DE1" w:rsidRDefault="00406DE1" w:rsidP="008A619D"/>
    <w:p w:rsidR="00406DE1" w:rsidRDefault="00406DE1" w:rsidP="008A619D"/>
    <w:p w:rsidR="00406DE1" w:rsidRDefault="00406DE1" w:rsidP="008A619D"/>
    <w:p w:rsidR="00406DE1" w:rsidRDefault="00406DE1" w:rsidP="008A619D"/>
    <w:p w:rsidR="00406DE1" w:rsidRDefault="00406DE1" w:rsidP="008A619D"/>
    <w:p w:rsidR="00406DE1" w:rsidRDefault="00406DE1" w:rsidP="00FC245C"/>
    <w:p w:rsidR="00406DE1" w:rsidRDefault="00406DE1" w:rsidP="00FC245C"/>
    <w:p w:rsidR="00406DE1" w:rsidRDefault="00406DE1" w:rsidP="00FE5F5C"/>
    <w:p w:rsidR="00406DE1" w:rsidRDefault="00406DE1"/>
    <w:p w:rsidR="00406DE1" w:rsidRDefault="00406DE1"/>
    <w:p w:rsidR="00406DE1" w:rsidRDefault="00406DE1"/>
    <w:p w:rsidR="00406DE1" w:rsidRDefault="00406DE1" w:rsidP="002B39BF"/>
    <w:p w:rsidR="00406DE1" w:rsidRDefault="00406DE1" w:rsidP="002B39BF"/>
    <w:p w:rsidR="00406DE1" w:rsidRDefault="00406DE1" w:rsidP="002B39BF"/>
    <w:p w:rsidR="00406DE1" w:rsidRDefault="00406DE1" w:rsidP="002B39BF"/>
    <w:p w:rsidR="00406DE1" w:rsidRDefault="00406DE1" w:rsidP="002B39BF"/>
    <w:p w:rsidR="00406DE1" w:rsidRDefault="00406DE1" w:rsidP="002B39BF"/>
    <w:p w:rsidR="00406DE1" w:rsidRDefault="00406DE1" w:rsidP="002B39BF"/>
    <w:p w:rsidR="00406DE1" w:rsidRDefault="00406DE1" w:rsidP="00920CB0"/>
    <w:p w:rsidR="00406DE1" w:rsidRDefault="00406DE1" w:rsidP="00920CB0"/>
    <w:p w:rsidR="00406DE1" w:rsidRDefault="00406DE1" w:rsidP="00920CB0"/>
    <w:p w:rsidR="00406DE1" w:rsidRDefault="00406DE1" w:rsidP="00920CB0"/>
    <w:p w:rsidR="00406DE1" w:rsidRDefault="00406DE1" w:rsidP="0078083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DE1" w:rsidRDefault="00406DE1" w:rsidP="00B24AFD"/>
  <w:p w:rsidR="00406DE1" w:rsidRDefault="00406DE1" w:rsidP="00B24AFD"/>
  <w:p w:rsidR="00406DE1" w:rsidRDefault="00406DE1" w:rsidP="00B24AFD"/>
  <w:p w:rsidR="00406DE1" w:rsidRDefault="00406DE1" w:rsidP="00B24AFD"/>
  <w:p w:rsidR="00406DE1" w:rsidRDefault="00406DE1" w:rsidP="00B24AFD"/>
  <w:p w:rsidR="00406DE1" w:rsidRDefault="00406DE1" w:rsidP="00B24AFD"/>
  <w:p w:rsidR="00406DE1" w:rsidRDefault="00406DE1" w:rsidP="00B24AFD"/>
  <w:p w:rsidR="00406DE1" w:rsidRDefault="00406DE1" w:rsidP="00B24AFD"/>
  <w:p w:rsidR="00406DE1" w:rsidRDefault="00406DE1" w:rsidP="00B24AFD"/>
  <w:p w:rsidR="00406DE1" w:rsidRDefault="00406DE1" w:rsidP="00B24AFD"/>
  <w:p w:rsidR="00406DE1" w:rsidRDefault="00406DE1" w:rsidP="00B24AFD"/>
  <w:p w:rsidR="00406DE1" w:rsidRDefault="00406DE1" w:rsidP="00B24AFD"/>
  <w:p w:rsidR="00406DE1" w:rsidRDefault="00406DE1" w:rsidP="00B24AFD"/>
  <w:p w:rsidR="00406DE1" w:rsidRDefault="00406DE1" w:rsidP="00B24AFD"/>
  <w:p w:rsidR="00406DE1" w:rsidRDefault="00406DE1" w:rsidP="00B24AFD"/>
  <w:p w:rsidR="00406DE1" w:rsidRDefault="00406DE1" w:rsidP="00B24AFD"/>
  <w:p w:rsidR="00406DE1" w:rsidRDefault="00406DE1" w:rsidP="00B24AFD"/>
  <w:p w:rsidR="00406DE1" w:rsidRDefault="00406DE1" w:rsidP="00B24AFD"/>
  <w:p w:rsidR="00406DE1" w:rsidRDefault="00406DE1" w:rsidP="00B24AFD"/>
  <w:p w:rsidR="00406DE1" w:rsidRDefault="00406DE1" w:rsidP="00B24AFD"/>
  <w:p w:rsidR="00406DE1" w:rsidRDefault="00406DE1" w:rsidP="00B24AFD"/>
  <w:p w:rsidR="00406DE1" w:rsidRDefault="00406DE1" w:rsidP="00B24AFD"/>
  <w:p w:rsidR="00406DE1" w:rsidRDefault="00406DE1" w:rsidP="00B24AFD"/>
  <w:p w:rsidR="00406DE1" w:rsidRDefault="00406DE1" w:rsidP="00B24AFD"/>
  <w:p w:rsidR="00406DE1" w:rsidRDefault="00406DE1" w:rsidP="00B24AFD"/>
  <w:p w:rsidR="00406DE1" w:rsidRDefault="00406DE1" w:rsidP="00B24AFD"/>
  <w:p w:rsidR="00406DE1" w:rsidRDefault="00406DE1" w:rsidP="00B24AFD"/>
  <w:p w:rsidR="00406DE1" w:rsidRDefault="00406DE1" w:rsidP="00B24AFD"/>
  <w:p w:rsidR="00406DE1" w:rsidRDefault="00406DE1" w:rsidP="00B24AFD"/>
  <w:p w:rsidR="00406DE1" w:rsidRDefault="00406DE1" w:rsidP="00B24AFD"/>
  <w:p w:rsidR="00406DE1" w:rsidRDefault="00406DE1" w:rsidP="00B24AFD"/>
  <w:p w:rsidR="00406DE1" w:rsidRDefault="00406DE1" w:rsidP="00B24AFD"/>
  <w:p w:rsidR="00406DE1" w:rsidRDefault="00406DE1" w:rsidP="00B24AFD"/>
  <w:p w:rsidR="00406DE1" w:rsidRDefault="00406DE1" w:rsidP="00B24AFD"/>
  <w:p w:rsidR="00406DE1" w:rsidRDefault="00406DE1" w:rsidP="00B24AFD"/>
  <w:p w:rsidR="00406DE1" w:rsidRDefault="00406DE1" w:rsidP="00B24AFD"/>
  <w:p w:rsidR="00406DE1" w:rsidRDefault="00406DE1" w:rsidP="00B24AFD"/>
  <w:p w:rsidR="00406DE1" w:rsidRDefault="00406DE1" w:rsidP="00B24AFD"/>
  <w:p w:rsidR="00406DE1" w:rsidRDefault="00406DE1" w:rsidP="00B24AFD"/>
  <w:p w:rsidR="00406DE1" w:rsidRDefault="00406DE1" w:rsidP="00B24AFD"/>
  <w:p w:rsidR="00406DE1" w:rsidRDefault="00406DE1" w:rsidP="00B24AFD"/>
  <w:p w:rsidR="00406DE1" w:rsidRDefault="00406DE1" w:rsidP="00B24AFD"/>
  <w:p w:rsidR="00406DE1" w:rsidRDefault="00406DE1" w:rsidP="00B24AFD"/>
  <w:p w:rsidR="00406DE1" w:rsidRDefault="00406DE1" w:rsidP="00B24AFD"/>
  <w:p w:rsidR="00406DE1" w:rsidRDefault="00406DE1" w:rsidP="00B24AFD"/>
  <w:p w:rsidR="00406DE1" w:rsidRDefault="00406DE1" w:rsidP="00B24AFD"/>
  <w:p w:rsidR="00406DE1" w:rsidRDefault="00406DE1" w:rsidP="00B24AF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DE1" w:rsidRPr="00422E5D" w:rsidRDefault="00406DE1" w:rsidP="00D72845">
    <w:pPr>
      <w:pStyle w:val="lfej"/>
      <w:pBdr>
        <w:bottom w:val="single" w:sz="6" w:space="1" w:color="auto"/>
      </w:pBdr>
      <w:tabs>
        <w:tab w:val="clear" w:pos="8640"/>
        <w:tab w:val="right" w:pos="8280"/>
      </w:tabs>
      <w:ind w:right="29"/>
      <w:jc w:val="center"/>
      <w:rPr>
        <w:smallCaps/>
        <w:spacing w:val="12"/>
      </w:rPr>
    </w:pPr>
    <w:r w:rsidRPr="00422E5D">
      <w:rPr>
        <w:smallCaps/>
        <w:spacing w:val="12"/>
      </w:rPr>
      <w:t xml:space="preserve">A </w:t>
    </w:r>
    <w:r w:rsidRPr="00341E0D">
      <w:rPr>
        <w:smallCaps/>
        <w:spacing w:val="12"/>
      </w:rPr>
      <w:t xml:space="preserve">Concorde Alapkezelő </w:t>
    </w:r>
    <w:r>
      <w:rPr>
        <w:smallCaps/>
        <w:spacing w:val="12"/>
      </w:rPr>
      <w:t>zrt.</w:t>
    </w:r>
    <w:r w:rsidRPr="00422E5D">
      <w:rPr>
        <w:smallCaps/>
        <w:spacing w:val="12"/>
      </w:rPr>
      <w:t xml:space="preserve"> által kezelt </w:t>
    </w:r>
    <w:r>
      <w:rPr>
        <w:smallCaps/>
        <w:spacing w:val="12"/>
      </w:rPr>
      <w:t>Concorde Hold Euro Alapok Alapja</w:t>
    </w:r>
    <w:r w:rsidRPr="00422E5D">
      <w:rPr>
        <w:smallCaps/>
        <w:spacing w:val="12"/>
      </w:rPr>
      <w:t xml:space="preserve"> </w:t>
    </w:r>
    <w:r>
      <w:rPr>
        <w:smallCaps/>
        <w:spacing w:val="12"/>
      </w:rPr>
      <w:t>Kezelési Szabályzata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DE1" w:rsidRDefault="00406DE1" w:rsidP="001474F5">
    <w:pPr>
      <w:pStyle w:val="lfej"/>
      <w:jc w:val="center"/>
    </w:pPr>
    <w:r>
      <w:t>A Concorde Alapkezelő által kezelt Concorde</w:t>
    </w:r>
    <w:r w:rsidRPr="00F4666A">
      <w:t>-VM A</w:t>
    </w:r>
    <w:r>
      <w:t>bszolút</w:t>
    </w:r>
    <w:r w:rsidRPr="00F4666A">
      <w:t xml:space="preserve"> </w:t>
    </w:r>
    <w:r>
      <w:t>Származtatott Befektetési Alap Kezelési Szabályzata</w:t>
    </w:r>
  </w:p>
  <w:p w:rsidR="00406DE1" w:rsidRDefault="00406DE1" w:rsidP="00844CDC"/>
  <w:p w:rsidR="00406DE1" w:rsidRDefault="00406DE1"/>
  <w:p w:rsidR="00406DE1" w:rsidRDefault="00406DE1" w:rsidP="007E0F55"/>
  <w:p w:rsidR="00406DE1" w:rsidRDefault="00406DE1"/>
  <w:p w:rsidR="00406DE1" w:rsidRDefault="00406DE1"/>
  <w:p w:rsidR="00406DE1" w:rsidRDefault="00406DE1" w:rsidP="00BE6326"/>
  <w:p w:rsidR="00406DE1" w:rsidRDefault="00406DE1" w:rsidP="000F63F4"/>
  <w:p w:rsidR="00406DE1" w:rsidRDefault="00406DE1" w:rsidP="000F63F4"/>
  <w:p w:rsidR="00406DE1" w:rsidRDefault="00406DE1" w:rsidP="000F63F4"/>
  <w:p w:rsidR="00406DE1" w:rsidRDefault="00406DE1" w:rsidP="000F63F4"/>
  <w:p w:rsidR="00406DE1" w:rsidRDefault="00406DE1" w:rsidP="000F63F4"/>
  <w:p w:rsidR="00406DE1" w:rsidRDefault="00406DE1" w:rsidP="006A40E9"/>
  <w:p w:rsidR="00406DE1" w:rsidRDefault="00406DE1" w:rsidP="008A619D"/>
  <w:p w:rsidR="00406DE1" w:rsidRDefault="00406DE1" w:rsidP="008A619D"/>
  <w:p w:rsidR="00406DE1" w:rsidRDefault="00406DE1" w:rsidP="008A619D"/>
  <w:p w:rsidR="00406DE1" w:rsidRDefault="00406DE1" w:rsidP="008A619D"/>
  <w:p w:rsidR="00406DE1" w:rsidRDefault="00406DE1" w:rsidP="008A619D"/>
  <w:p w:rsidR="00406DE1" w:rsidRDefault="00406DE1" w:rsidP="008A619D"/>
  <w:p w:rsidR="00406DE1" w:rsidRDefault="00406DE1" w:rsidP="00FC245C"/>
  <w:p w:rsidR="00406DE1" w:rsidRDefault="00406DE1" w:rsidP="00FC245C"/>
  <w:p w:rsidR="00406DE1" w:rsidRDefault="00406DE1" w:rsidP="00FE5F5C"/>
  <w:p w:rsidR="00406DE1" w:rsidRDefault="00406DE1"/>
  <w:p w:rsidR="00406DE1" w:rsidRDefault="00406DE1"/>
  <w:p w:rsidR="00406DE1" w:rsidRDefault="00406DE1"/>
  <w:p w:rsidR="00406DE1" w:rsidRDefault="00406DE1" w:rsidP="002B39BF"/>
  <w:p w:rsidR="00406DE1" w:rsidRDefault="00406DE1" w:rsidP="002B39BF"/>
  <w:p w:rsidR="00406DE1" w:rsidRDefault="00406DE1" w:rsidP="002B39BF"/>
  <w:p w:rsidR="00406DE1" w:rsidRDefault="00406DE1" w:rsidP="002B39BF"/>
  <w:p w:rsidR="00406DE1" w:rsidRDefault="00406DE1" w:rsidP="002B39BF"/>
  <w:p w:rsidR="00406DE1" w:rsidRDefault="00406DE1" w:rsidP="002B39BF"/>
  <w:p w:rsidR="00406DE1" w:rsidRDefault="00406DE1" w:rsidP="002B39BF"/>
  <w:p w:rsidR="00406DE1" w:rsidRDefault="00406DE1" w:rsidP="00920CB0"/>
  <w:p w:rsidR="00406DE1" w:rsidRDefault="00406DE1" w:rsidP="00920CB0"/>
  <w:p w:rsidR="00406DE1" w:rsidRDefault="00406DE1" w:rsidP="00920CB0"/>
  <w:p w:rsidR="00406DE1" w:rsidRDefault="00406DE1" w:rsidP="00920CB0"/>
  <w:p w:rsidR="00406DE1" w:rsidRDefault="00406DE1" w:rsidP="0078083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8BB1549"/>
    <w:multiLevelType w:val="hybridMultilevel"/>
    <w:tmpl w:val="AB38F1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B591458"/>
    <w:multiLevelType w:val="multilevel"/>
    <w:tmpl w:val="38184230"/>
    <w:lvl w:ilvl="0">
      <w:start w:val="1"/>
      <w:numFmt w:val="decimal"/>
      <w:lvlText w:val="%1."/>
      <w:lvlJc w:val="left"/>
      <w:pPr>
        <w:ind w:left="360" w:hanging="360"/>
      </w:p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249292D"/>
    <w:multiLevelType w:val="hybridMultilevel"/>
    <w:tmpl w:val="75582C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136C4C7B"/>
    <w:multiLevelType w:val="hybridMultilevel"/>
    <w:tmpl w:val="9644356C"/>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17EA32C5"/>
    <w:multiLevelType w:val="hybridMultilevel"/>
    <w:tmpl w:val="FFB09F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18E24E79"/>
    <w:multiLevelType w:val="hybridMultilevel"/>
    <w:tmpl w:val="56B4C94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nsid w:val="18E71C8B"/>
    <w:multiLevelType w:val="hybridMultilevel"/>
    <w:tmpl w:val="A6A8ED24"/>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1E210D7E"/>
    <w:multiLevelType w:val="hybridMultilevel"/>
    <w:tmpl w:val="7D84D21C"/>
    <w:lvl w:ilvl="0" w:tplc="040E0001">
      <w:start w:val="1"/>
      <w:numFmt w:val="bullet"/>
      <w:lvlText w:val=""/>
      <w:lvlJc w:val="left"/>
      <w:pPr>
        <w:ind w:left="1145" w:hanging="360"/>
      </w:pPr>
      <w:rPr>
        <w:rFonts w:ascii="Symbol" w:hAnsi="Symbol" w:hint="default"/>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9">
    <w:nsid w:val="1E677CE8"/>
    <w:multiLevelType w:val="hybridMultilevel"/>
    <w:tmpl w:val="F3A6E54E"/>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21AA4074"/>
    <w:multiLevelType w:val="hybridMultilevel"/>
    <w:tmpl w:val="EB2C93E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22B52BE7"/>
    <w:multiLevelType w:val="hybridMultilevel"/>
    <w:tmpl w:val="92BCB538"/>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2844683F"/>
    <w:multiLevelType w:val="hybridMultilevel"/>
    <w:tmpl w:val="ECB8143A"/>
    <w:lvl w:ilvl="0" w:tplc="040E0001">
      <w:start w:val="1"/>
      <w:numFmt w:val="bullet"/>
      <w:lvlText w:val=""/>
      <w:lvlJc w:val="left"/>
      <w:pPr>
        <w:ind w:left="1145" w:hanging="360"/>
      </w:pPr>
      <w:rPr>
        <w:rFonts w:ascii="Symbol" w:hAnsi="Symbol" w:hint="default"/>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13">
    <w:nsid w:val="2BB15C79"/>
    <w:multiLevelType w:val="hybridMultilevel"/>
    <w:tmpl w:val="E1A4CBC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37D76269"/>
    <w:multiLevelType w:val="hybridMultilevel"/>
    <w:tmpl w:val="3454DF52"/>
    <w:lvl w:ilvl="0" w:tplc="FFFFFFFF">
      <w:start w:val="1"/>
      <w:numFmt w:val="decimal"/>
      <w:pStyle w:val="2cm"/>
      <w:lvlText w:val="%1."/>
      <w:lvlJc w:val="left"/>
      <w:pPr>
        <w:tabs>
          <w:tab w:val="num" w:pos="2989"/>
        </w:tabs>
        <w:ind w:left="2989" w:hanging="720"/>
      </w:pPr>
      <w:rPr>
        <w:rFonts w:ascii="H_Orig Garamond BT" w:hAnsi="H_Orig Garamond BT" w:cs="Times New Roman" w:hint="default"/>
        <w:b/>
        <w:i w:val="0"/>
        <w:sz w:val="24"/>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3EDD74DF"/>
    <w:multiLevelType w:val="hybridMultilevel"/>
    <w:tmpl w:val="E578C066"/>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414654FE"/>
    <w:multiLevelType w:val="multilevel"/>
    <w:tmpl w:val="38184230"/>
    <w:lvl w:ilvl="0">
      <w:start w:val="1"/>
      <w:numFmt w:val="decimal"/>
      <w:lvlText w:val="%1."/>
      <w:lvlJc w:val="left"/>
      <w:pPr>
        <w:ind w:left="360" w:hanging="360"/>
      </w:p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27E19CB"/>
    <w:multiLevelType w:val="hybridMultilevel"/>
    <w:tmpl w:val="50F8CADC"/>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nsid w:val="4443749F"/>
    <w:multiLevelType w:val="hybridMultilevel"/>
    <w:tmpl w:val="6F720164"/>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9">
    <w:nsid w:val="46B66CE7"/>
    <w:multiLevelType w:val="singleLevel"/>
    <w:tmpl w:val="04090001"/>
    <w:lvl w:ilvl="0">
      <w:start w:val="1"/>
      <w:numFmt w:val="bullet"/>
      <w:pStyle w:val="Normal2b"/>
      <w:lvlText w:val=""/>
      <w:lvlJc w:val="left"/>
      <w:pPr>
        <w:tabs>
          <w:tab w:val="num" w:pos="360"/>
        </w:tabs>
        <w:ind w:left="360" w:hanging="360"/>
      </w:pPr>
      <w:rPr>
        <w:rFonts w:ascii="Symbol" w:hAnsi="Symbol" w:hint="default"/>
      </w:rPr>
    </w:lvl>
  </w:abstractNum>
  <w:abstractNum w:abstractNumId="20">
    <w:nsid w:val="4A3B6D15"/>
    <w:multiLevelType w:val="multilevel"/>
    <w:tmpl w:val="FABE0A6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1">
    <w:nsid w:val="4EF012CE"/>
    <w:multiLevelType w:val="hybridMultilevel"/>
    <w:tmpl w:val="4066E8D0"/>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2">
    <w:nsid w:val="519F7FA3"/>
    <w:multiLevelType w:val="hybridMultilevel"/>
    <w:tmpl w:val="A08481D0"/>
    <w:lvl w:ilvl="0" w:tplc="202215AA">
      <w:start w:val="1"/>
      <w:numFmt w:val="lowerLetter"/>
      <w:lvlText w:val="%1)"/>
      <w:lvlJc w:val="left"/>
      <w:pPr>
        <w:ind w:left="720" w:hanging="360"/>
      </w:pPr>
      <w:rPr>
        <w:rFonts w:cs="Times New Roman" w:hint="default"/>
        <w:i/>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3">
    <w:nsid w:val="53231F88"/>
    <w:multiLevelType w:val="hybridMultilevel"/>
    <w:tmpl w:val="8A323260"/>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535D5A7C"/>
    <w:multiLevelType w:val="hybridMultilevel"/>
    <w:tmpl w:val="562891F2"/>
    <w:lvl w:ilvl="0" w:tplc="040E0001">
      <w:start w:val="1"/>
      <w:numFmt w:val="bullet"/>
      <w:lvlText w:val=""/>
      <w:lvlJc w:val="left"/>
      <w:pPr>
        <w:ind w:left="1145" w:hanging="360"/>
      </w:pPr>
      <w:rPr>
        <w:rFonts w:ascii="Symbol" w:hAnsi="Symbol" w:hint="default"/>
      </w:rPr>
    </w:lvl>
    <w:lvl w:ilvl="1" w:tplc="256E760E">
      <w:numFmt w:val="bullet"/>
      <w:lvlText w:val="•"/>
      <w:lvlJc w:val="left"/>
      <w:pPr>
        <w:ind w:left="1865" w:hanging="360"/>
      </w:pPr>
      <w:rPr>
        <w:rFonts w:ascii="Verdana" w:eastAsia="Times New Roman" w:hAnsi="Verdana" w:hint="default"/>
      </w:rPr>
    </w:lvl>
    <w:lvl w:ilvl="2" w:tplc="040E0005">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25">
    <w:nsid w:val="575F1C77"/>
    <w:multiLevelType w:val="hybridMultilevel"/>
    <w:tmpl w:val="628617F6"/>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6">
    <w:nsid w:val="5BC67363"/>
    <w:multiLevelType w:val="hybridMultilevel"/>
    <w:tmpl w:val="EE363560"/>
    <w:lvl w:ilvl="0" w:tplc="040E0001">
      <w:start w:val="1"/>
      <w:numFmt w:val="bullet"/>
      <w:lvlText w:val=""/>
      <w:lvlJc w:val="left"/>
      <w:pPr>
        <w:ind w:left="1992" w:hanging="360"/>
      </w:pPr>
      <w:rPr>
        <w:rFonts w:ascii="Symbol" w:hAnsi="Symbol" w:hint="default"/>
      </w:rPr>
    </w:lvl>
    <w:lvl w:ilvl="1" w:tplc="040E0003" w:tentative="1">
      <w:start w:val="1"/>
      <w:numFmt w:val="bullet"/>
      <w:lvlText w:val="o"/>
      <w:lvlJc w:val="left"/>
      <w:pPr>
        <w:ind w:left="2712" w:hanging="360"/>
      </w:pPr>
      <w:rPr>
        <w:rFonts w:ascii="Courier New" w:hAnsi="Courier New" w:cs="Courier New" w:hint="default"/>
      </w:rPr>
    </w:lvl>
    <w:lvl w:ilvl="2" w:tplc="040E0005" w:tentative="1">
      <w:start w:val="1"/>
      <w:numFmt w:val="bullet"/>
      <w:lvlText w:val=""/>
      <w:lvlJc w:val="left"/>
      <w:pPr>
        <w:ind w:left="3432" w:hanging="360"/>
      </w:pPr>
      <w:rPr>
        <w:rFonts w:ascii="Wingdings" w:hAnsi="Wingdings" w:hint="default"/>
      </w:rPr>
    </w:lvl>
    <w:lvl w:ilvl="3" w:tplc="040E0001" w:tentative="1">
      <w:start w:val="1"/>
      <w:numFmt w:val="bullet"/>
      <w:lvlText w:val=""/>
      <w:lvlJc w:val="left"/>
      <w:pPr>
        <w:ind w:left="4152" w:hanging="360"/>
      </w:pPr>
      <w:rPr>
        <w:rFonts w:ascii="Symbol" w:hAnsi="Symbol" w:hint="default"/>
      </w:rPr>
    </w:lvl>
    <w:lvl w:ilvl="4" w:tplc="040E0003" w:tentative="1">
      <w:start w:val="1"/>
      <w:numFmt w:val="bullet"/>
      <w:lvlText w:val="o"/>
      <w:lvlJc w:val="left"/>
      <w:pPr>
        <w:ind w:left="4872" w:hanging="360"/>
      </w:pPr>
      <w:rPr>
        <w:rFonts w:ascii="Courier New" w:hAnsi="Courier New" w:cs="Courier New" w:hint="default"/>
      </w:rPr>
    </w:lvl>
    <w:lvl w:ilvl="5" w:tplc="040E0005" w:tentative="1">
      <w:start w:val="1"/>
      <w:numFmt w:val="bullet"/>
      <w:lvlText w:val=""/>
      <w:lvlJc w:val="left"/>
      <w:pPr>
        <w:ind w:left="5592" w:hanging="360"/>
      </w:pPr>
      <w:rPr>
        <w:rFonts w:ascii="Wingdings" w:hAnsi="Wingdings" w:hint="default"/>
      </w:rPr>
    </w:lvl>
    <w:lvl w:ilvl="6" w:tplc="040E0001" w:tentative="1">
      <w:start w:val="1"/>
      <w:numFmt w:val="bullet"/>
      <w:lvlText w:val=""/>
      <w:lvlJc w:val="left"/>
      <w:pPr>
        <w:ind w:left="6312" w:hanging="360"/>
      </w:pPr>
      <w:rPr>
        <w:rFonts w:ascii="Symbol" w:hAnsi="Symbol" w:hint="default"/>
      </w:rPr>
    </w:lvl>
    <w:lvl w:ilvl="7" w:tplc="040E0003" w:tentative="1">
      <w:start w:val="1"/>
      <w:numFmt w:val="bullet"/>
      <w:lvlText w:val="o"/>
      <w:lvlJc w:val="left"/>
      <w:pPr>
        <w:ind w:left="7032" w:hanging="360"/>
      </w:pPr>
      <w:rPr>
        <w:rFonts w:ascii="Courier New" w:hAnsi="Courier New" w:cs="Courier New" w:hint="default"/>
      </w:rPr>
    </w:lvl>
    <w:lvl w:ilvl="8" w:tplc="040E0005" w:tentative="1">
      <w:start w:val="1"/>
      <w:numFmt w:val="bullet"/>
      <w:lvlText w:val=""/>
      <w:lvlJc w:val="left"/>
      <w:pPr>
        <w:ind w:left="7752" w:hanging="360"/>
      </w:pPr>
      <w:rPr>
        <w:rFonts w:ascii="Wingdings" w:hAnsi="Wingdings" w:hint="default"/>
      </w:rPr>
    </w:lvl>
  </w:abstractNum>
  <w:abstractNum w:abstractNumId="27">
    <w:nsid w:val="5D7A5101"/>
    <w:multiLevelType w:val="hybridMultilevel"/>
    <w:tmpl w:val="9F0E8E00"/>
    <w:lvl w:ilvl="0" w:tplc="040E0005">
      <w:start w:val="1"/>
      <w:numFmt w:val="bullet"/>
      <w:lvlText w:val=""/>
      <w:lvlJc w:val="left"/>
      <w:pPr>
        <w:tabs>
          <w:tab w:val="num" w:pos="720"/>
        </w:tabs>
        <w:ind w:left="720" w:hanging="360"/>
      </w:pPr>
      <w:rPr>
        <w:rFonts w:ascii="Wingdings" w:hAnsi="Wingdings"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8">
    <w:nsid w:val="5FF61A9F"/>
    <w:multiLevelType w:val="hybridMultilevel"/>
    <w:tmpl w:val="391A02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61363017"/>
    <w:multiLevelType w:val="hybridMultilevel"/>
    <w:tmpl w:val="3822ECF0"/>
    <w:lvl w:ilvl="0" w:tplc="040E0005">
      <w:start w:val="1"/>
      <w:numFmt w:val="bullet"/>
      <w:lvlText w:val=""/>
      <w:lvlJc w:val="left"/>
      <w:pPr>
        <w:tabs>
          <w:tab w:val="num" w:pos="720"/>
        </w:tabs>
        <w:ind w:left="720" w:hanging="360"/>
      </w:pPr>
      <w:rPr>
        <w:rFonts w:ascii="Wingdings" w:hAnsi="Wingdings"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0">
    <w:nsid w:val="645140A3"/>
    <w:multiLevelType w:val="hybridMultilevel"/>
    <w:tmpl w:val="009E13D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nsid w:val="65A254C8"/>
    <w:multiLevelType w:val="hybridMultilevel"/>
    <w:tmpl w:val="99DE7D9C"/>
    <w:lvl w:ilvl="0" w:tplc="040E0017">
      <w:start w:val="1"/>
      <w:numFmt w:val="lowerLetter"/>
      <w:lvlText w:val="%1)"/>
      <w:lvlJc w:val="left"/>
      <w:pPr>
        <w:ind w:left="720" w:hanging="360"/>
      </w:pPr>
      <w:rPr>
        <w:rFonts w:cs="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686F3F39"/>
    <w:multiLevelType w:val="multilevel"/>
    <w:tmpl w:val="38184230"/>
    <w:lvl w:ilvl="0">
      <w:start w:val="1"/>
      <w:numFmt w:val="decimal"/>
      <w:lvlText w:val="%1."/>
      <w:lvlJc w:val="left"/>
      <w:pPr>
        <w:ind w:left="360" w:hanging="360"/>
      </w:p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1977AE4"/>
    <w:multiLevelType w:val="hybridMultilevel"/>
    <w:tmpl w:val="85AA380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nsid w:val="724C239D"/>
    <w:multiLevelType w:val="hybridMultilevel"/>
    <w:tmpl w:val="FE6E61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nsid w:val="72590F8A"/>
    <w:multiLevelType w:val="singleLevel"/>
    <w:tmpl w:val="04090001"/>
    <w:lvl w:ilvl="0">
      <w:start w:val="1"/>
      <w:numFmt w:val="bullet"/>
      <w:pStyle w:val="Normal2"/>
      <w:lvlText w:val=""/>
      <w:lvlJc w:val="left"/>
      <w:pPr>
        <w:tabs>
          <w:tab w:val="num" w:pos="360"/>
        </w:tabs>
        <w:ind w:left="360" w:hanging="360"/>
      </w:pPr>
      <w:rPr>
        <w:rFonts w:ascii="Symbol" w:hAnsi="Symbol" w:hint="default"/>
      </w:rPr>
    </w:lvl>
  </w:abstractNum>
  <w:abstractNum w:abstractNumId="36">
    <w:nsid w:val="73542276"/>
    <w:multiLevelType w:val="hybridMultilevel"/>
    <w:tmpl w:val="BA109764"/>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7">
    <w:nsid w:val="7BEB2727"/>
    <w:multiLevelType w:val="hybridMultilevel"/>
    <w:tmpl w:val="8A02E7D0"/>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nsid w:val="7E351DF6"/>
    <w:multiLevelType w:val="hybridMultilevel"/>
    <w:tmpl w:val="2EC24558"/>
    <w:lvl w:ilvl="0" w:tplc="040E0001">
      <w:start w:val="1"/>
      <w:numFmt w:val="bullet"/>
      <w:lvlText w:val=""/>
      <w:lvlJc w:val="left"/>
      <w:pPr>
        <w:ind w:left="1145" w:hanging="360"/>
      </w:pPr>
      <w:rPr>
        <w:rFonts w:ascii="Symbol" w:hAnsi="Symbol" w:hint="default"/>
      </w:rPr>
    </w:lvl>
    <w:lvl w:ilvl="1" w:tplc="040E0003">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39">
    <w:nsid w:val="7F3033DE"/>
    <w:multiLevelType w:val="hybridMultilevel"/>
    <w:tmpl w:val="0A8A8B2C"/>
    <w:lvl w:ilvl="0" w:tplc="040E0017">
      <w:start w:val="1"/>
      <w:numFmt w:val="lowerLetter"/>
      <w:lvlText w:val="%1)"/>
      <w:lvlJc w:val="left"/>
      <w:pPr>
        <w:ind w:left="1992" w:hanging="360"/>
      </w:pPr>
    </w:lvl>
    <w:lvl w:ilvl="1" w:tplc="040E0019" w:tentative="1">
      <w:start w:val="1"/>
      <w:numFmt w:val="lowerLetter"/>
      <w:lvlText w:val="%2."/>
      <w:lvlJc w:val="left"/>
      <w:pPr>
        <w:ind w:left="2712" w:hanging="360"/>
      </w:pPr>
    </w:lvl>
    <w:lvl w:ilvl="2" w:tplc="040E001B" w:tentative="1">
      <w:start w:val="1"/>
      <w:numFmt w:val="lowerRoman"/>
      <w:lvlText w:val="%3."/>
      <w:lvlJc w:val="right"/>
      <w:pPr>
        <w:ind w:left="3432" w:hanging="180"/>
      </w:pPr>
    </w:lvl>
    <w:lvl w:ilvl="3" w:tplc="040E000F" w:tentative="1">
      <w:start w:val="1"/>
      <w:numFmt w:val="decimal"/>
      <w:lvlText w:val="%4."/>
      <w:lvlJc w:val="left"/>
      <w:pPr>
        <w:ind w:left="4152" w:hanging="360"/>
      </w:pPr>
    </w:lvl>
    <w:lvl w:ilvl="4" w:tplc="040E0019" w:tentative="1">
      <w:start w:val="1"/>
      <w:numFmt w:val="lowerLetter"/>
      <w:lvlText w:val="%5."/>
      <w:lvlJc w:val="left"/>
      <w:pPr>
        <w:ind w:left="4872" w:hanging="360"/>
      </w:pPr>
    </w:lvl>
    <w:lvl w:ilvl="5" w:tplc="040E001B" w:tentative="1">
      <w:start w:val="1"/>
      <w:numFmt w:val="lowerRoman"/>
      <w:lvlText w:val="%6."/>
      <w:lvlJc w:val="right"/>
      <w:pPr>
        <w:ind w:left="5592" w:hanging="180"/>
      </w:pPr>
    </w:lvl>
    <w:lvl w:ilvl="6" w:tplc="040E000F" w:tentative="1">
      <w:start w:val="1"/>
      <w:numFmt w:val="decimal"/>
      <w:lvlText w:val="%7."/>
      <w:lvlJc w:val="left"/>
      <w:pPr>
        <w:ind w:left="6312" w:hanging="360"/>
      </w:pPr>
    </w:lvl>
    <w:lvl w:ilvl="7" w:tplc="040E0019" w:tentative="1">
      <w:start w:val="1"/>
      <w:numFmt w:val="lowerLetter"/>
      <w:lvlText w:val="%8."/>
      <w:lvlJc w:val="left"/>
      <w:pPr>
        <w:ind w:left="7032" w:hanging="360"/>
      </w:pPr>
    </w:lvl>
    <w:lvl w:ilvl="8" w:tplc="040E001B" w:tentative="1">
      <w:start w:val="1"/>
      <w:numFmt w:val="lowerRoman"/>
      <w:lvlText w:val="%9."/>
      <w:lvlJc w:val="right"/>
      <w:pPr>
        <w:ind w:left="7752" w:hanging="180"/>
      </w:pPr>
    </w:lvl>
  </w:abstractNum>
  <w:abstractNum w:abstractNumId="40">
    <w:nsid w:val="7FFD5DA2"/>
    <w:multiLevelType w:val="hybridMultilevel"/>
    <w:tmpl w:val="BB6466A4"/>
    <w:lvl w:ilvl="0" w:tplc="040E0001">
      <w:start w:val="1"/>
      <w:numFmt w:val="bullet"/>
      <w:lvlText w:val=""/>
      <w:lvlJc w:val="left"/>
      <w:pPr>
        <w:ind w:left="1151" w:hanging="360"/>
      </w:pPr>
      <w:rPr>
        <w:rFonts w:ascii="Symbol" w:hAnsi="Symbol" w:hint="default"/>
      </w:rPr>
    </w:lvl>
    <w:lvl w:ilvl="1" w:tplc="040E0003" w:tentative="1">
      <w:start w:val="1"/>
      <w:numFmt w:val="bullet"/>
      <w:lvlText w:val="o"/>
      <w:lvlJc w:val="left"/>
      <w:pPr>
        <w:ind w:left="1871" w:hanging="360"/>
      </w:pPr>
      <w:rPr>
        <w:rFonts w:ascii="Courier New" w:hAnsi="Courier New" w:cs="Courier New" w:hint="default"/>
      </w:rPr>
    </w:lvl>
    <w:lvl w:ilvl="2" w:tplc="040E0005" w:tentative="1">
      <w:start w:val="1"/>
      <w:numFmt w:val="bullet"/>
      <w:lvlText w:val=""/>
      <w:lvlJc w:val="left"/>
      <w:pPr>
        <w:ind w:left="2591" w:hanging="360"/>
      </w:pPr>
      <w:rPr>
        <w:rFonts w:ascii="Wingdings" w:hAnsi="Wingdings" w:hint="default"/>
      </w:rPr>
    </w:lvl>
    <w:lvl w:ilvl="3" w:tplc="040E0001" w:tentative="1">
      <w:start w:val="1"/>
      <w:numFmt w:val="bullet"/>
      <w:lvlText w:val=""/>
      <w:lvlJc w:val="left"/>
      <w:pPr>
        <w:ind w:left="3311" w:hanging="360"/>
      </w:pPr>
      <w:rPr>
        <w:rFonts w:ascii="Symbol" w:hAnsi="Symbol" w:hint="default"/>
      </w:rPr>
    </w:lvl>
    <w:lvl w:ilvl="4" w:tplc="040E0003" w:tentative="1">
      <w:start w:val="1"/>
      <w:numFmt w:val="bullet"/>
      <w:lvlText w:val="o"/>
      <w:lvlJc w:val="left"/>
      <w:pPr>
        <w:ind w:left="4031" w:hanging="360"/>
      </w:pPr>
      <w:rPr>
        <w:rFonts w:ascii="Courier New" w:hAnsi="Courier New" w:cs="Courier New" w:hint="default"/>
      </w:rPr>
    </w:lvl>
    <w:lvl w:ilvl="5" w:tplc="040E0005" w:tentative="1">
      <w:start w:val="1"/>
      <w:numFmt w:val="bullet"/>
      <w:lvlText w:val=""/>
      <w:lvlJc w:val="left"/>
      <w:pPr>
        <w:ind w:left="4751" w:hanging="360"/>
      </w:pPr>
      <w:rPr>
        <w:rFonts w:ascii="Wingdings" w:hAnsi="Wingdings" w:hint="default"/>
      </w:rPr>
    </w:lvl>
    <w:lvl w:ilvl="6" w:tplc="040E0001" w:tentative="1">
      <w:start w:val="1"/>
      <w:numFmt w:val="bullet"/>
      <w:lvlText w:val=""/>
      <w:lvlJc w:val="left"/>
      <w:pPr>
        <w:ind w:left="5471" w:hanging="360"/>
      </w:pPr>
      <w:rPr>
        <w:rFonts w:ascii="Symbol" w:hAnsi="Symbol" w:hint="default"/>
      </w:rPr>
    </w:lvl>
    <w:lvl w:ilvl="7" w:tplc="040E0003" w:tentative="1">
      <w:start w:val="1"/>
      <w:numFmt w:val="bullet"/>
      <w:lvlText w:val="o"/>
      <w:lvlJc w:val="left"/>
      <w:pPr>
        <w:ind w:left="6191" w:hanging="360"/>
      </w:pPr>
      <w:rPr>
        <w:rFonts w:ascii="Courier New" w:hAnsi="Courier New" w:cs="Courier New" w:hint="default"/>
      </w:rPr>
    </w:lvl>
    <w:lvl w:ilvl="8" w:tplc="040E0005" w:tentative="1">
      <w:start w:val="1"/>
      <w:numFmt w:val="bullet"/>
      <w:lvlText w:val=""/>
      <w:lvlJc w:val="left"/>
      <w:pPr>
        <w:ind w:left="6911"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5"/>
  </w:num>
  <w:num w:numId="3">
    <w:abstractNumId w:val="19"/>
  </w:num>
  <w:num w:numId="4">
    <w:abstractNumId w:val="14"/>
  </w:num>
  <w:num w:numId="5">
    <w:abstractNumId w:val="4"/>
  </w:num>
  <w:num w:numId="6">
    <w:abstractNumId w:val="29"/>
  </w:num>
  <w:num w:numId="7">
    <w:abstractNumId w:val="21"/>
  </w:num>
  <w:num w:numId="8">
    <w:abstractNumId w:val="36"/>
  </w:num>
  <w:num w:numId="9">
    <w:abstractNumId w:val="17"/>
  </w:num>
  <w:num w:numId="10">
    <w:abstractNumId w:val="28"/>
  </w:num>
  <w:num w:numId="11">
    <w:abstractNumId w:val="37"/>
  </w:num>
  <w:num w:numId="12">
    <w:abstractNumId w:val="3"/>
  </w:num>
  <w:num w:numId="13">
    <w:abstractNumId w:val="6"/>
  </w:num>
  <w:num w:numId="14">
    <w:abstractNumId w:val="13"/>
  </w:num>
  <w:num w:numId="15">
    <w:abstractNumId w:val="20"/>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30"/>
  </w:num>
  <w:num w:numId="24">
    <w:abstractNumId w:val="34"/>
  </w:num>
  <w:num w:numId="25">
    <w:abstractNumId w:val="1"/>
  </w:num>
  <w:num w:numId="26">
    <w:abstractNumId w:val="33"/>
  </w:num>
  <w:num w:numId="27">
    <w:abstractNumId w:val="22"/>
  </w:num>
  <w:num w:numId="28">
    <w:abstractNumId w:val="31"/>
  </w:num>
  <w:num w:numId="29">
    <w:abstractNumId w:val="25"/>
  </w:num>
  <w:num w:numId="30">
    <w:abstractNumId w:val="5"/>
  </w:num>
  <w:num w:numId="31">
    <w:abstractNumId w:val="11"/>
  </w:num>
  <w:num w:numId="32">
    <w:abstractNumId w:val="32"/>
  </w:num>
  <w:num w:numId="33">
    <w:abstractNumId w:val="9"/>
  </w:num>
  <w:num w:numId="34">
    <w:abstractNumId w:val="18"/>
  </w:num>
  <w:num w:numId="35">
    <w:abstractNumId w:val="16"/>
  </w:num>
  <w:num w:numId="36">
    <w:abstractNumId w:val="2"/>
  </w:num>
  <w:num w:numId="37">
    <w:abstractNumId w:val="7"/>
  </w:num>
  <w:num w:numId="38">
    <w:abstractNumId w:val="15"/>
  </w:num>
  <w:num w:numId="39">
    <w:abstractNumId w:val="23"/>
  </w:num>
  <w:num w:numId="40">
    <w:abstractNumId w:val="40"/>
  </w:num>
  <w:num w:numId="41">
    <w:abstractNumId w:val="38"/>
  </w:num>
  <w:num w:numId="42">
    <w:abstractNumId w:val="12"/>
  </w:num>
  <w:num w:numId="43">
    <w:abstractNumId w:val="8"/>
  </w:num>
  <w:num w:numId="44">
    <w:abstractNumId w:val="27"/>
  </w:num>
  <w:num w:numId="45">
    <w:abstractNumId w:val="24"/>
  </w:num>
  <w:num w:numId="46">
    <w:abstractNumId w:val="26"/>
  </w:num>
  <w:num w:numId="47">
    <w:abstractNumId w:val="3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588"/>
    <w:rsid w:val="000008BE"/>
    <w:rsid w:val="00000DF3"/>
    <w:rsid w:val="0000342D"/>
    <w:rsid w:val="00003692"/>
    <w:rsid w:val="000048C5"/>
    <w:rsid w:val="00005725"/>
    <w:rsid w:val="00005AE5"/>
    <w:rsid w:val="00005CE8"/>
    <w:rsid w:val="00007AC7"/>
    <w:rsid w:val="00010A34"/>
    <w:rsid w:val="00011EE6"/>
    <w:rsid w:val="00012097"/>
    <w:rsid w:val="0001232F"/>
    <w:rsid w:val="000141B5"/>
    <w:rsid w:val="000147B5"/>
    <w:rsid w:val="00015557"/>
    <w:rsid w:val="00015A1E"/>
    <w:rsid w:val="000176A0"/>
    <w:rsid w:val="0002427F"/>
    <w:rsid w:val="00024E62"/>
    <w:rsid w:val="00025DF8"/>
    <w:rsid w:val="00025FF0"/>
    <w:rsid w:val="00026CAD"/>
    <w:rsid w:val="00026D0F"/>
    <w:rsid w:val="00027928"/>
    <w:rsid w:val="00027A55"/>
    <w:rsid w:val="000337BB"/>
    <w:rsid w:val="00035223"/>
    <w:rsid w:val="000354AB"/>
    <w:rsid w:val="000362AE"/>
    <w:rsid w:val="000366A0"/>
    <w:rsid w:val="00036850"/>
    <w:rsid w:val="00036B87"/>
    <w:rsid w:val="00036EA7"/>
    <w:rsid w:val="00040F39"/>
    <w:rsid w:val="00041B22"/>
    <w:rsid w:val="0004255A"/>
    <w:rsid w:val="000429C0"/>
    <w:rsid w:val="00043478"/>
    <w:rsid w:val="00043AB0"/>
    <w:rsid w:val="000450ED"/>
    <w:rsid w:val="00046C2C"/>
    <w:rsid w:val="00046D4D"/>
    <w:rsid w:val="00047A23"/>
    <w:rsid w:val="00047CD4"/>
    <w:rsid w:val="000522CC"/>
    <w:rsid w:val="000577D2"/>
    <w:rsid w:val="000614E2"/>
    <w:rsid w:val="00062CED"/>
    <w:rsid w:val="000652E7"/>
    <w:rsid w:val="00065383"/>
    <w:rsid w:val="000658C6"/>
    <w:rsid w:val="00067814"/>
    <w:rsid w:val="0006797B"/>
    <w:rsid w:val="00072726"/>
    <w:rsid w:val="00072B3A"/>
    <w:rsid w:val="00073CEF"/>
    <w:rsid w:val="00075259"/>
    <w:rsid w:val="0007536D"/>
    <w:rsid w:val="0008140A"/>
    <w:rsid w:val="0008259B"/>
    <w:rsid w:val="00083B7C"/>
    <w:rsid w:val="00085121"/>
    <w:rsid w:val="0008737A"/>
    <w:rsid w:val="000873D6"/>
    <w:rsid w:val="00090458"/>
    <w:rsid w:val="00090FDC"/>
    <w:rsid w:val="0009452A"/>
    <w:rsid w:val="00094E2D"/>
    <w:rsid w:val="00095C0E"/>
    <w:rsid w:val="00096E4C"/>
    <w:rsid w:val="000973D3"/>
    <w:rsid w:val="000A0232"/>
    <w:rsid w:val="000A0433"/>
    <w:rsid w:val="000A0C1D"/>
    <w:rsid w:val="000A4B97"/>
    <w:rsid w:val="000A5147"/>
    <w:rsid w:val="000A5DDA"/>
    <w:rsid w:val="000A6C6B"/>
    <w:rsid w:val="000A7A49"/>
    <w:rsid w:val="000B0769"/>
    <w:rsid w:val="000B082F"/>
    <w:rsid w:val="000B0951"/>
    <w:rsid w:val="000B0AA2"/>
    <w:rsid w:val="000B3199"/>
    <w:rsid w:val="000B40DE"/>
    <w:rsid w:val="000B4710"/>
    <w:rsid w:val="000B4A72"/>
    <w:rsid w:val="000B5ECA"/>
    <w:rsid w:val="000B643A"/>
    <w:rsid w:val="000B741D"/>
    <w:rsid w:val="000C0303"/>
    <w:rsid w:val="000C08A8"/>
    <w:rsid w:val="000C1A2D"/>
    <w:rsid w:val="000C2C7A"/>
    <w:rsid w:val="000C3817"/>
    <w:rsid w:val="000C45FB"/>
    <w:rsid w:val="000C4FB1"/>
    <w:rsid w:val="000C4FF7"/>
    <w:rsid w:val="000C5AE9"/>
    <w:rsid w:val="000C6A0E"/>
    <w:rsid w:val="000C6AAD"/>
    <w:rsid w:val="000D242F"/>
    <w:rsid w:val="000D3A6D"/>
    <w:rsid w:val="000D413E"/>
    <w:rsid w:val="000D574D"/>
    <w:rsid w:val="000D73A6"/>
    <w:rsid w:val="000E077F"/>
    <w:rsid w:val="000E10BF"/>
    <w:rsid w:val="000E1B96"/>
    <w:rsid w:val="000E1E50"/>
    <w:rsid w:val="000E4D8A"/>
    <w:rsid w:val="000E63EF"/>
    <w:rsid w:val="000E7F93"/>
    <w:rsid w:val="000F14C8"/>
    <w:rsid w:val="000F2382"/>
    <w:rsid w:val="000F2BA0"/>
    <w:rsid w:val="000F2CC5"/>
    <w:rsid w:val="000F314E"/>
    <w:rsid w:val="000F3A00"/>
    <w:rsid w:val="000F4812"/>
    <w:rsid w:val="000F573E"/>
    <w:rsid w:val="000F5A2E"/>
    <w:rsid w:val="000F63F4"/>
    <w:rsid w:val="000F6C4D"/>
    <w:rsid w:val="000F6CE6"/>
    <w:rsid w:val="000F6FF9"/>
    <w:rsid w:val="000F78B4"/>
    <w:rsid w:val="00100929"/>
    <w:rsid w:val="00102252"/>
    <w:rsid w:val="001024AC"/>
    <w:rsid w:val="001029F7"/>
    <w:rsid w:val="00102F62"/>
    <w:rsid w:val="0010430D"/>
    <w:rsid w:val="00105714"/>
    <w:rsid w:val="001059FB"/>
    <w:rsid w:val="00106D7F"/>
    <w:rsid w:val="0010706E"/>
    <w:rsid w:val="00111A03"/>
    <w:rsid w:val="00111DEE"/>
    <w:rsid w:val="00112C85"/>
    <w:rsid w:val="00112E65"/>
    <w:rsid w:val="0011426F"/>
    <w:rsid w:val="00114C1B"/>
    <w:rsid w:val="0011593A"/>
    <w:rsid w:val="00115F6C"/>
    <w:rsid w:val="0011680D"/>
    <w:rsid w:val="001172F7"/>
    <w:rsid w:val="001200A9"/>
    <w:rsid w:val="00121838"/>
    <w:rsid w:val="00121BB8"/>
    <w:rsid w:val="00122462"/>
    <w:rsid w:val="00122D3F"/>
    <w:rsid w:val="001230DB"/>
    <w:rsid w:val="001235FB"/>
    <w:rsid w:val="00123A67"/>
    <w:rsid w:val="001273B2"/>
    <w:rsid w:val="00130028"/>
    <w:rsid w:val="00130F16"/>
    <w:rsid w:val="001316E9"/>
    <w:rsid w:val="00132B08"/>
    <w:rsid w:val="0013566B"/>
    <w:rsid w:val="0014047C"/>
    <w:rsid w:val="00141031"/>
    <w:rsid w:val="00142333"/>
    <w:rsid w:val="00143866"/>
    <w:rsid w:val="001450CB"/>
    <w:rsid w:val="001474F5"/>
    <w:rsid w:val="00151572"/>
    <w:rsid w:val="0015257D"/>
    <w:rsid w:val="001526AC"/>
    <w:rsid w:val="00154E48"/>
    <w:rsid w:val="00154EF8"/>
    <w:rsid w:val="00155F0A"/>
    <w:rsid w:val="00156D0B"/>
    <w:rsid w:val="00157076"/>
    <w:rsid w:val="00157BCA"/>
    <w:rsid w:val="001600E9"/>
    <w:rsid w:val="0016143C"/>
    <w:rsid w:val="00161CE6"/>
    <w:rsid w:val="00162B81"/>
    <w:rsid w:val="00163C86"/>
    <w:rsid w:val="00163CFE"/>
    <w:rsid w:val="001657B7"/>
    <w:rsid w:val="001666CB"/>
    <w:rsid w:val="001727C4"/>
    <w:rsid w:val="001728B4"/>
    <w:rsid w:val="00172A57"/>
    <w:rsid w:val="00173971"/>
    <w:rsid w:val="001743AB"/>
    <w:rsid w:val="00175EA1"/>
    <w:rsid w:val="0017633C"/>
    <w:rsid w:val="00176D3C"/>
    <w:rsid w:val="00176EAE"/>
    <w:rsid w:val="0018007C"/>
    <w:rsid w:val="001802F6"/>
    <w:rsid w:val="00181EF5"/>
    <w:rsid w:val="001832CD"/>
    <w:rsid w:val="001832D6"/>
    <w:rsid w:val="001837BB"/>
    <w:rsid w:val="00183D77"/>
    <w:rsid w:val="001840CB"/>
    <w:rsid w:val="00186104"/>
    <w:rsid w:val="0018620F"/>
    <w:rsid w:val="00192564"/>
    <w:rsid w:val="001939FE"/>
    <w:rsid w:val="00194D3E"/>
    <w:rsid w:val="001950D1"/>
    <w:rsid w:val="00196EB3"/>
    <w:rsid w:val="00197262"/>
    <w:rsid w:val="00197A2F"/>
    <w:rsid w:val="00197CE5"/>
    <w:rsid w:val="00197CEE"/>
    <w:rsid w:val="001A08F4"/>
    <w:rsid w:val="001A136B"/>
    <w:rsid w:val="001A1554"/>
    <w:rsid w:val="001A1D91"/>
    <w:rsid w:val="001A4B63"/>
    <w:rsid w:val="001A517E"/>
    <w:rsid w:val="001A5C98"/>
    <w:rsid w:val="001A79B4"/>
    <w:rsid w:val="001B05DF"/>
    <w:rsid w:val="001B24BE"/>
    <w:rsid w:val="001B2E3F"/>
    <w:rsid w:val="001B3179"/>
    <w:rsid w:val="001B3E9F"/>
    <w:rsid w:val="001B3FB5"/>
    <w:rsid w:val="001B4ABB"/>
    <w:rsid w:val="001B600A"/>
    <w:rsid w:val="001B629A"/>
    <w:rsid w:val="001B6A6D"/>
    <w:rsid w:val="001B6D9F"/>
    <w:rsid w:val="001C0B1F"/>
    <w:rsid w:val="001C117B"/>
    <w:rsid w:val="001C23B3"/>
    <w:rsid w:val="001C26AC"/>
    <w:rsid w:val="001C35E8"/>
    <w:rsid w:val="001C41A5"/>
    <w:rsid w:val="001C6477"/>
    <w:rsid w:val="001D016A"/>
    <w:rsid w:val="001D0B38"/>
    <w:rsid w:val="001D0CB7"/>
    <w:rsid w:val="001D20DD"/>
    <w:rsid w:val="001D259E"/>
    <w:rsid w:val="001D50B7"/>
    <w:rsid w:val="001D6356"/>
    <w:rsid w:val="001D6823"/>
    <w:rsid w:val="001D69FC"/>
    <w:rsid w:val="001D6F34"/>
    <w:rsid w:val="001D711B"/>
    <w:rsid w:val="001E1129"/>
    <w:rsid w:val="001E17B3"/>
    <w:rsid w:val="001E1B54"/>
    <w:rsid w:val="001E1C3C"/>
    <w:rsid w:val="001E261F"/>
    <w:rsid w:val="001E4C8F"/>
    <w:rsid w:val="001E526A"/>
    <w:rsid w:val="001E5416"/>
    <w:rsid w:val="001E5A3E"/>
    <w:rsid w:val="001E6279"/>
    <w:rsid w:val="001F1155"/>
    <w:rsid w:val="001F16A4"/>
    <w:rsid w:val="001F34CD"/>
    <w:rsid w:val="001F4FD0"/>
    <w:rsid w:val="001F55E2"/>
    <w:rsid w:val="001F6CE4"/>
    <w:rsid w:val="00200443"/>
    <w:rsid w:val="00201A7B"/>
    <w:rsid w:val="002031D3"/>
    <w:rsid w:val="002041B1"/>
    <w:rsid w:val="00204F9C"/>
    <w:rsid w:val="0020506B"/>
    <w:rsid w:val="002068EB"/>
    <w:rsid w:val="002079FD"/>
    <w:rsid w:val="00211328"/>
    <w:rsid w:val="00212E0F"/>
    <w:rsid w:val="0021416C"/>
    <w:rsid w:val="00214546"/>
    <w:rsid w:val="0021480A"/>
    <w:rsid w:val="00214F0D"/>
    <w:rsid w:val="002176C8"/>
    <w:rsid w:val="00220843"/>
    <w:rsid w:val="00220FE8"/>
    <w:rsid w:val="0022213C"/>
    <w:rsid w:val="00222D69"/>
    <w:rsid w:val="0022436E"/>
    <w:rsid w:val="00225053"/>
    <w:rsid w:val="00225DFD"/>
    <w:rsid w:val="00225EA4"/>
    <w:rsid w:val="002260D0"/>
    <w:rsid w:val="002261AA"/>
    <w:rsid w:val="002270D9"/>
    <w:rsid w:val="00231D7E"/>
    <w:rsid w:val="002325F5"/>
    <w:rsid w:val="0023454A"/>
    <w:rsid w:val="0023490E"/>
    <w:rsid w:val="00236234"/>
    <w:rsid w:val="00241A35"/>
    <w:rsid w:val="00241AB1"/>
    <w:rsid w:val="00242227"/>
    <w:rsid w:val="002439A6"/>
    <w:rsid w:val="00243B74"/>
    <w:rsid w:val="0024420B"/>
    <w:rsid w:val="00244222"/>
    <w:rsid w:val="002458DD"/>
    <w:rsid w:val="00245F07"/>
    <w:rsid w:val="002461D0"/>
    <w:rsid w:val="00246899"/>
    <w:rsid w:val="00247A59"/>
    <w:rsid w:val="00252CCC"/>
    <w:rsid w:val="00252CF6"/>
    <w:rsid w:val="00253796"/>
    <w:rsid w:val="00254357"/>
    <w:rsid w:val="002549FF"/>
    <w:rsid w:val="00254E9E"/>
    <w:rsid w:val="00256C30"/>
    <w:rsid w:val="0025704B"/>
    <w:rsid w:val="0025726C"/>
    <w:rsid w:val="00257FA5"/>
    <w:rsid w:val="0026130B"/>
    <w:rsid w:val="002613FD"/>
    <w:rsid w:val="0026153B"/>
    <w:rsid w:val="00263223"/>
    <w:rsid w:val="00264B36"/>
    <w:rsid w:val="0026557E"/>
    <w:rsid w:val="00265687"/>
    <w:rsid w:val="002674AB"/>
    <w:rsid w:val="00267E18"/>
    <w:rsid w:val="00271714"/>
    <w:rsid w:val="00271A2F"/>
    <w:rsid w:val="00271EA1"/>
    <w:rsid w:val="002720AD"/>
    <w:rsid w:val="00273CBF"/>
    <w:rsid w:val="00273EC3"/>
    <w:rsid w:val="00277B42"/>
    <w:rsid w:val="0028031F"/>
    <w:rsid w:val="002807A3"/>
    <w:rsid w:val="0028193F"/>
    <w:rsid w:val="00281DC5"/>
    <w:rsid w:val="002824C7"/>
    <w:rsid w:val="002826E4"/>
    <w:rsid w:val="00282AFC"/>
    <w:rsid w:val="00282B90"/>
    <w:rsid w:val="00283BD4"/>
    <w:rsid w:val="00284CB3"/>
    <w:rsid w:val="00285417"/>
    <w:rsid w:val="00285C6F"/>
    <w:rsid w:val="0028721B"/>
    <w:rsid w:val="00290293"/>
    <w:rsid w:val="002906FF"/>
    <w:rsid w:val="00290DAF"/>
    <w:rsid w:val="002917C5"/>
    <w:rsid w:val="00291C4D"/>
    <w:rsid w:val="00292913"/>
    <w:rsid w:val="002934C9"/>
    <w:rsid w:val="00293DAE"/>
    <w:rsid w:val="00294BFA"/>
    <w:rsid w:val="00295C38"/>
    <w:rsid w:val="0029608C"/>
    <w:rsid w:val="00296260"/>
    <w:rsid w:val="002977A6"/>
    <w:rsid w:val="002A0736"/>
    <w:rsid w:val="002A1967"/>
    <w:rsid w:val="002A2212"/>
    <w:rsid w:val="002A593C"/>
    <w:rsid w:val="002A6494"/>
    <w:rsid w:val="002B0D69"/>
    <w:rsid w:val="002B39BF"/>
    <w:rsid w:val="002B41B7"/>
    <w:rsid w:val="002B4384"/>
    <w:rsid w:val="002B52B5"/>
    <w:rsid w:val="002B7390"/>
    <w:rsid w:val="002B7D07"/>
    <w:rsid w:val="002C0610"/>
    <w:rsid w:val="002C0C2B"/>
    <w:rsid w:val="002C2B2F"/>
    <w:rsid w:val="002C3655"/>
    <w:rsid w:val="002C4F65"/>
    <w:rsid w:val="002C5541"/>
    <w:rsid w:val="002C59E5"/>
    <w:rsid w:val="002C617C"/>
    <w:rsid w:val="002C7111"/>
    <w:rsid w:val="002C7A7C"/>
    <w:rsid w:val="002D1741"/>
    <w:rsid w:val="002D1B93"/>
    <w:rsid w:val="002D47D7"/>
    <w:rsid w:val="002D4AC6"/>
    <w:rsid w:val="002D4DEE"/>
    <w:rsid w:val="002D4EF8"/>
    <w:rsid w:val="002D4F95"/>
    <w:rsid w:val="002D5380"/>
    <w:rsid w:val="002D577E"/>
    <w:rsid w:val="002D5864"/>
    <w:rsid w:val="002D5D7C"/>
    <w:rsid w:val="002D5DD0"/>
    <w:rsid w:val="002D621B"/>
    <w:rsid w:val="002D7166"/>
    <w:rsid w:val="002D723E"/>
    <w:rsid w:val="002D72D6"/>
    <w:rsid w:val="002D7582"/>
    <w:rsid w:val="002E05D6"/>
    <w:rsid w:val="002E0A9A"/>
    <w:rsid w:val="002E0FCD"/>
    <w:rsid w:val="002E19A5"/>
    <w:rsid w:val="002E2508"/>
    <w:rsid w:val="002E29FF"/>
    <w:rsid w:val="002E4633"/>
    <w:rsid w:val="002E4D8C"/>
    <w:rsid w:val="002E51A9"/>
    <w:rsid w:val="002E573A"/>
    <w:rsid w:val="002E69E1"/>
    <w:rsid w:val="002E6E5E"/>
    <w:rsid w:val="002E7468"/>
    <w:rsid w:val="002E74BC"/>
    <w:rsid w:val="002F0A02"/>
    <w:rsid w:val="002F149F"/>
    <w:rsid w:val="002F1684"/>
    <w:rsid w:val="002F17E6"/>
    <w:rsid w:val="002F19C2"/>
    <w:rsid w:val="002F1A58"/>
    <w:rsid w:val="002F2B2D"/>
    <w:rsid w:val="002F3914"/>
    <w:rsid w:val="002F4C30"/>
    <w:rsid w:val="002F60F5"/>
    <w:rsid w:val="002F68CF"/>
    <w:rsid w:val="00301B2E"/>
    <w:rsid w:val="00303BDA"/>
    <w:rsid w:val="00303E4D"/>
    <w:rsid w:val="00304D05"/>
    <w:rsid w:val="00305F02"/>
    <w:rsid w:val="003075E5"/>
    <w:rsid w:val="00307CD1"/>
    <w:rsid w:val="00311EE4"/>
    <w:rsid w:val="003120C0"/>
    <w:rsid w:val="003124F3"/>
    <w:rsid w:val="0031290D"/>
    <w:rsid w:val="0031322D"/>
    <w:rsid w:val="00316A9B"/>
    <w:rsid w:val="0031781F"/>
    <w:rsid w:val="00320088"/>
    <w:rsid w:val="00320993"/>
    <w:rsid w:val="00320F70"/>
    <w:rsid w:val="00321296"/>
    <w:rsid w:val="0032497B"/>
    <w:rsid w:val="00324CD8"/>
    <w:rsid w:val="00330E4A"/>
    <w:rsid w:val="00332577"/>
    <w:rsid w:val="003326F4"/>
    <w:rsid w:val="00333B17"/>
    <w:rsid w:val="003345C7"/>
    <w:rsid w:val="0033654A"/>
    <w:rsid w:val="003376D3"/>
    <w:rsid w:val="00337DE2"/>
    <w:rsid w:val="003416FD"/>
    <w:rsid w:val="00341ACF"/>
    <w:rsid w:val="00341E0D"/>
    <w:rsid w:val="003450F5"/>
    <w:rsid w:val="00345787"/>
    <w:rsid w:val="003468C1"/>
    <w:rsid w:val="00347527"/>
    <w:rsid w:val="00347EF0"/>
    <w:rsid w:val="00347F9D"/>
    <w:rsid w:val="003509DF"/>
    <w:rsid w:val="00350BA1"/>
    <w:rsid w:val="00350EC9"/>
    <w:rsid w:val="00351254"/>
    <w:rsid w:val="00351F28"/>
    <w:rsid w:val="00352CD9"/>
    <w:rsid w:val="00353766"/>
    <w:rsid w:val="003537FB"/>
    <w:rsid w:val="003549F7"/>
    <w:rsid w:val="00355B9A"/>
    <w:rsid w:val="00360DB6"/>
    <w:rsid w:val="00361085"/>
    <w:rsid w:val="003615FB"/>
    <w:rsid w:val="00363B9F"/>
    <w:rsid w:val="00364C8C"/>
    <w:rsid w:val="00365292"/>
    <w:rsid w:val="00366CB2"/>
    <w:rsid w:val="00367511"/>
    <w:rsid w:val="00367E6A"/>
    <w:rsid w:val="00370112"/>
    <w:rsid w:val="00371B48"/>
    <w:rsid w:val="003720A4"/>
    <w:rsid w:val="00375B55"/>
    <w:rsid w:val="00375F27"/>
    <w:rsid w:val="0038108A"/>
    <w:rsid w:val="003818BD"/>
    <w:rsid w:val="003823CD"/>
    <w:rsid w:val="003823E8"/>
    <w:rsid w:val="00383634"/>
    <w:rsid w:val="003836D9"/>
    <w:rsid w:val="00383FAD"/>
    <w:rsid w:val="00384108"/>
    <w:rsid w:val="003856FC"/>
    <w:rsid w:val="003921A3"/>
    <w:rsid w:val="00392C72"/>
    <w:rsid w:val="00392CC2"/>
    <w:rsid w:val="00392FD7"/>
    <w:rsid w:val="00394397"/>
    <w:rsid w:val="00395C25"/>
    <w:rsid w:val="003960E2"/>
    <w:rsid w:val="00396357"/>
    <w:rsid w:val="00397126"/>
    <w:rsid w:val="00397A69"/>
    <w:rsid w:val="003A111C"/>
    <w:rsid w:val="003A2514"/>
    <w:rsid w:val="003A3E1C"/>
    <w:rsid w:val="003A4DC6"/>
    <w:rsid w:val="003A63E7"/>
    <w:rsid w:val="003A6D62"/>
    <w:rsid w:val="003A6F56"/>
    <w:rsid w:val="003A7821"/>
    <w:rsid w:val="003B14C5"/>
    <w:rsid w:val="003B3642"/>
    <w:rsid w:val="003B5ED8"/>
    <w:rsid w:val="003B6A1F"/>
    <w:rsid w:val="003B71DB"/>
    <w:rsid w:val="003B72A1"/>
    <w:rsid w:val="003C03ED"/>
    <w:rsid w:val="003C3C78"/>
    <w:rsid w:val="003C4C4D"/>
    <w:rsid w:val="003C4DAD"/>
    <w:rsid w:val="003C50C4"/>
    <w:rsid w:val="003C53EF"/>
    <w:rsid w:val="003C68DD"/>
    <w:rsid w:val="003C7542"/>
    <w:rsid w:val="003C7EB3"/>
    <w:rsid w:val="003C7F19"/>
    <w:rsid w:val="003D0FDD"/>
    <w:rsid w:val="003D126E"/>
    <w:rsid w:val="003D150B"/>
    <w:rsid w:val="003D24B7"/>
    <w:rsid w:val="003D33B0"/>
    <w:rsid w:val="003D5C7B"/>
    <w:rsid w:val="003D6A54"/>
    <w:rsid w:val="003D758A"/>
    <w:rsid w:val="003E10F0"/>
    <w:rsid w:val="003E27BD"/>
    <w:rsid w:val="003E38EA"/>
    <w:rsid w:val="003E3AF3"/>
    <w:rsid w:val="003E4C30"/>
    <w:rsid w:val="003E75F1"/>
    <w:rsid w:val="003F0056"/>
    <w:rsid w:val="003F1E6A"/>
    <w:rsid w:val="003F2C46"/>
    <w:rsid w:val="003F3D03"/>
    <w:rsid w:val="003F3F01"/>
    <w:rsid w:val="003F5C7A"/>
    <w:rsid w:val="003F684A"/>
    <w:rsid w:val="003F7573"/>
    <w:rsid w:val="0040158A"/>
    <w:rsid w:val="00401CBD"/>
    <w:rsid w:val="00402946"/>
    <w:rsid w:val="0040326E"/>
    <w:rsid w:val="00403CA9"/>
    <w:rsid w:val="004041BA"/>
    <w:rsid w:val="00404AA1"/>
    <w:rsid w:val="00406DE1"/>
    <w:rsid w:val="00407112"/>
    <w:rsid w:val="00407709"/>
    <w:rsid w:val="00410D23"/>
    <w:rsid w:val="00411052"/>
    <w:rsid w:val="00412F60"/>
    <w:rsid w:val="00414587"/>
    <w:rsid w:val="00415236"/>
    <w:rsid w:val="0041569C"/>
    <w:rsid w:val="00416030"/>
    <w:rsid w:val="0041619F"/>
    <w:rsid w:val="00416584"/>
    <w:rsid w:val="0041758E"/>
    <w:rsid w:val="00420379"/>
    <w:rsid w:val="004204D7"/>
    <w:rsid w:val="004209F9"/>
    <w:rsid w:val="004224D2"/>
    <w:rsid w:val="00422E5D"/>
    <w:rsid w:val="00424339"/>
    <w:rsid w:val="00425592"/>
    <w:rsid w:val="00425EF0"/>
    <w:rsid w:val="00427A36"/>
    <w:rsid w:val="00427A6A"/>
    <w:rsid w:val="00430AF9"/>
    <w:rsid w:val="004310CC"/>
    <w:rsid w:val="004318B2"/>
    <w:rsid w:val="00432077"/>
    <w:rsid w:val="00433C34"/>
    <w:rsid w:val="00434704"/>
    <w:rsid w:val="00434BEB"/>
    <w:rsid w:val="00434BFD"/>
    <w:rsid w:val="00434DEB"/>
    <w:rsid w:val="0043506F"/>
    <w:rsid w:val="00436EC6"/>
    <w:rsid w:val="00437597"/>
    <w:rsid w:val="00440E92"/>
    <w:rsid w:val="004418EF"/>
    <w:rsid w:val="00441EAC"/>
    <w:rsid w:val="00445346"/>
    <w:rsid w:val="00445FD8"/>
    <w:rsid w:val="0044793F"/>
    <w:rsid w:val="00450537"/>
    <w:rsid w:val="0045218F"/>
    <w:rsid w:val="004523C7"/>
    <w:rsid w:val="004525DE"/>
    <w:rsid w:val="00452CA7"/>
    <w:rsid w:val="004533F1"/>
    <w:rsid w:val="00453535"/>
    <w:rsid w:val="00453D62"/>
    <w:rsid w:val="004544E1"/>
    <w:rsid w:val="00455BCC"/>
    <w:rsid w:val="004564E6"/>
    <w:rsid w:val="004576B3"/>
    <w:rsid w:val="004605A4"/>
    <w:rsid w:val="00460DF6"/>
    <w:rsid w:val="00462A0D"/>
    <w:rsid w:val="00463199"/>
    <w:rsid w:val="00464582"/>
    <w:rsid w:val="004645D8"/>
    <w:rsid w:val="00470481"/>
    <w:rsid w:val="004705F0"/>
    <w:rsid w:val="0047065B"/>
    <w:rsid w:val="00471319"/>
    <w:rsid w:val="0047264A"/>
    <w:rsid w:val="004727D5"/>
    <w:rsid w:val="00473E02"/>
    <w:rsid w:val="0047679F"/>
    <w:rsid w:val="004770FF"/>
    <w:rsid w:val="00477AC5"/>
    <w:rsid w:val="0048060A"/>
    <w:rsid w:val="00481467"/>
    <w:rsid w:val="004817A9"/>
    <w:rsid w:val="00485377"/>
    <w:rsid w:val="00485927"/>
    <w:rsid w:val="00485C83"/>
    <w:rsid w:val="004862D3"/>
    <w:rsid w:val="00487C65"/>
    <w:rsid w:val="004912AD"/>
    <w:rsid w:val="0049154F"/>
    <w:rsid w:val="00491AEE"/>
    <w:rsid w:val="004938C8"/>
    <w:rsid w:val="004951DA"/>
    <w:rsid w:val="00496BF0"/>
    <w:rsid w:val="00496DE4"/>
    <w:rsid w:val="004A0677"/>
    <w:rsid w:val="004A202A"/>
    <w:rsid w:val="004A2F95"/>
    <w:rsid w:val="004A32F9"/>
    <w:rsid w:val="004A33A8"/>
    <w:rsid w:val="004A3EB0"/>
    <w:rsid w:val="004A3EBA"/>
    <w:rsid w:val="004A5252"/>
    <w:rsid w:val="004A5E70"/>
    <w:rsid w:val="004A630C"/>
    <w:rsid w:val="004A6FCF"/>
    <w:rsid w:val="004A7E79"/>
    <w:rsid w:val="004B3F18"/>
    <w:rsid w:val="004B42EE"/>
    <w:rsid w:val="004B6A52"/>
    <w:rsid w:val="004B6F96"/>
    <w:rsid w:val="004B70FA"/>
    <w:rsid w:val="004B72C9"/>
    <w:rsid w:val="004B7E04"/>
    <w:rsid w:val="004C0281"/>
    <w:rsid w:val="004C03C2"/>
    <w:rsid w:val="004C1558"/>
    <w:rsid w:val="004C23ED"/>
    <w:rsid w:val="004C2C87"/>
    <w:rsid w:val="004C3586"/>
    <w:rsid w:val="004C4FD5"/>
    <w:rsid w:val="004C5BC3"/>
    <w:rsid w:val="004C6E74"/>
    <w:rsid w:val="004D050F"/>
    <w:rsid w:val="004D0D5D"/>
    <w:rsid w:val="004D0F9B"/>
    <w:rsid w:val="004D1B5D"/>
    <w:rsid w:val="004D2C47"/>
    <w:rsid w:val="004D339E"/>
    <w:rsid w:val="004D4399"/>
    <w:rsid w:val="004D4A38"/>
    <w:rsid w:val="004D5A90"/>
    <w:rsid w:val="004D6A82"/>
    <w:rsid w:val="004D6D55"/>
    <w:rsid w:val="004D72E0"/>
    <w:rsid w:val="004D783E"/>
    <w:rsid w:val="004D7B75"/>
    <w:rsid w:val="004E02E9"/>
    <w:rsid w:val="004E249C"/>
    <w:rsid w:val="004E3840"/>
    <w:rsid w:val="004E5906"/>
    <w:rsid w:val="004E5AB6"/>
    <w:rsid w:val="004E6054"/>
    <w:rsid w:val="004E678F"/>
    <w:rsid w:val="004E72AA"/>
    <w:rsid w:val="004F1117"/>
    <w:rsid w:val="004F1B5D"/>
    <w:rsid w:val="004F2C05"/>
    <w:rsid w:val="004F39EF"/>
    <w:rsid w:val="004F3C8C"/>
    <w:rsid w:val="004F55FE"/>
    <w:rsid w:val="004F5DBE"/>
    <w:rsid w:val="004F689D"/>
    <w:rsid w:val="0050043F"/>
    <w:rsid w:val="00500ADD"/>
    <w:rsid w:val="0050182E"/>
    <w:rsid w:val="005044A4"/>
    <w:rsid w:val="005069FF"/>
    <w:rsid w:val="005071E6"/>
    <w:rsid w:val="00507AE4"/>
    <w:rsid w:val="00511962"/>
    <w:rsid w:val="00511FD1"/>
    <w:rsid w:val="00512A80"/>
    <w:rsid w:val="005144C6"/>
    <w:rsid w:val="00514C9E"/>
    <w:rsid w:val="005174EA"/>
    <w:rsid w:val="00520944"/>
    <w:rsid w:val="005213E8"/>
    <w:rsid w:val="00521963"/>
    <w:rsid w:val="00523124"/>
    <w:rsid w:val="00523395"/>
    <w:rsid w:val="005234B7"/>
    <w:rsid w:val="00523B4B"/>
    <w:rsid w:val="00524D99"/>
    <w:rsid w:val="00530A2E"/>
    <w:rsid w:val="0053100E"/>
    <w:rsid w:val="005341D8"/>
    <w:rsid w:val="00534D81"/>
    <w:rsid w:val="00534F6D"/>
    <w:rsid w:val="0053528C"/>
    <w:rsid w:val="00535E6B"/>
    <w:rsid w:val="00536796"/>
    <w:rsid w:val="0053787B"/>
    <w:rsid w:val="00537A8F"/>
    <w:rsid w:val="00537C7F"/>
    <w:rsid w:val="00537E98"/>
    <w:rsid w:val="00541311"/>
    <w:rsid w:val="0054324B"/>
    <w:rsid w:val="005433F5"/>
    <w:rsid w:val="005436D0"/>
    <w:rsid w:val="00543853"/>
    <w:rsid w:val="0054575D"/>
    <w:rsid w:val="00546A20"/>
    <w:rsid w:val="0055163F"/>
    <w:rsid w:val="00552686"/>
    <w:rsid w:val="00553CFB"/>
    <w:rsid w:val="00554430"/>
    <w:rsid w:val="00554AA2"/>
    <w:rsid w:val="00555A94"/>
    <w:rsid w:val="0055646A"/>
    <w:rsid w:val="00556B0F"/>
    <w:rsid w:val="005575DD"/>
    <w:rsid w:val="0056116A"/>
    <w:rsid w:val="00561FBE"/>
    <w:rsid w:val="00562306"/>
    <w:rsid w:val="00562778"/>
    <w:rsid w:val="0056333F"/>
    <w:rsid w:val="005634AE"/>
    <w:rsid w:val="00564182"/>
    <w:rsid w:val="00565872"/>
    <w:rsid w:val="0056736F"/>
    <w:rsid w:val="005709AA"/>
    <w:rsid w:val="00572CC4"/>
    <w:rsid w:val="00572D20"/>
    <w:rsid w:val="00573C40"/>
    <w:rsid w:val="00574CFD"/>
    <w:rsid w:val="00574F77"/>
    <w:rsid w:val="00577CD6"/>
    <w:rsid w:val="005804F3"/>
    <w:rsid w:val="005806FE"/>
    <w:rsid w:val="0058089A"/>
    <w:rsid w:val="00580BC3"/>
    <w:rsid w:val="00581EBD"/>
    <w:rsid w:val="00582928"/>
    <w:rsid w:val="00585136"/>
    <w:rsid w:val="00585658"/>
    <w:rsid w:val="005857AE"/>
    <w:rsid w:val="00585CCF"/>
    <w:rsid w:val="0058776A"/>
    <w:rsid w:val="00594F4F"/>
    <w:rsid w:val="00595104"/>
    <w:rsid w:val="005958D0"/>
    <w:rsid w:val="005961EC"/>
    <w:rsid w:val="005A0BE4"/>
    <w:rsid w:val="005A0D74"/>
    <w:rsid w:val="005A3919"/>
    <w:rsid w:val="005A54D9"/>
    <w:rsid w:val="005A5C2E"/>
    <w:rsid w:val="005A5EDD"/>
    <w:rsid w:val="005A78C1"/>
    <w:rsid w:val="005B07AC"/>
    <w:rsid w:val="005B09B5"/>
    <w:rsid w:val="005B348E"/>
    <w:rsid w:val="005B34F4"/>
    <w:rsid w:val="005B3696"/>
    <w:rsid w:val="005B3DFB"/>
    <w:rsid w:val="005B4E8D"/>
    <w:rsid w:val="005B5FB6"/>
    <w:rsid w:val="005B774D"/>
    <w:rsid w:val="005C0E3C"/>
    <w:rsid w:val="005C1293"/>
    <w:rsid w:val="005C1EB6"/>
    <w:rsid w:val="005C1F95"/>
    <w:rsid w:val="005C24ED"/>
    <w:rsid w:val="005C340E"/>
    <w:rsid w:val="005C3462"/>
    <w:rsid w:val="005C5630"/>
    <w:rsid w:val="005C60D9"/>
    <w:rsid w:val="005C615F"/>
    <w:rsid w:val="005C6438"/>
    <w:rsid w:val="005C66A4"/>
    <w:rsid w:val="005C6875"/>
    <w:rsid w:val="005C6CEE"/>
    <w:rsid w:val="005C7846"/>
    <w:rsid w:val="005D03B7"/>
    <w:rsid w:val="005D2204"/>
    <w:rsid w:val="005D3100"/>
    <w:rsid w:val="005D4806"/>
    <w:rsid w:val="005D4C90"/>
    <w:rsid w:val="005D4F67"/>
    <w:rsid w:val="005D58F2"/>
    <w:rsid w:val="005D68FD"/>
    <w:rsid w:val="005D6D71"/>
    <w:rsid w:val="005D72B0"/>
    <w:rsid w:val="005E021C"/>
    <w:rsid w:val="005E09A1"/>
    <w:rsid w:val="005E09A8"/>
    <w:rsid w:val="005E118B"/>
    <w:rsid w:val="005E16BA"/>
    <w:rsid w:val="005E2461"/>
    <w:rsid w:val="005E2D1E"/>
    <w:rsid w:val="005E3015"/>
    <w:rsid w:val="005E38DA"/>
    <w:rsid w:val="005E4528"/>
    <w:rsid w:val="005E5CE0"/>
    <w:rsid w:val="005E702F"/>
    <w:rsid w:val="005F0D26"/>
    <w:rsid w:val="005F0F71"/>
    <w:rsid w:val="005F3F2D"/>
    <w:rsid w:val="005F43A8"/>
    <w:rsid w:val="005F46DA"/>
    <w:rsid w:val="005F4AFA"/>
    <w:rsid w:val="005F5031"/>
    <w:rsid w:val="005F5B34"/>
    <w:rsid w:val="00600B45"/>
    <w:rsid w:val="00601E98"/>
    <w:rsid w:val="0060296D"/>
    <w:rsid w:val="00602B92"/>
    <w:rsid w:val="00604068"/>
    <w:rsid w:val="00606095"/>
    <w:rsid w:val="00606411"/>
    <w:rsid w:val="006117E7"/>
    <w:rsid w:val="00612164"/>
    <w:rsid w:val="006135C7"/>
    <w:rsid w:val="00614786"/>
    <w:rsid w:val="006170CE"/>
    <w:rsid w:val="00617693"/>
    <w:rsid w:val="00617BDE"/>
    <w:rsid w:val="00620486"/>
    <w:rsid w:val="00620746"/>
    <w:rsid w:val="00620C44"/>
    <w:rsid w:val="00620E78"/>
    <w:rsid w:val="0062128B"/>
    <w:rsid w:val="00621B6F"/>
    <w:rsid w:val="00622F99"/>
    <w:rsid w:val="006244C1"/>
    <w:rsid w:val="00624CEE"/>
    <w:rsid w:val="00627658"/>
    <w:rsid w:val="00627A45"/>
    <w:rsid w:val="00630B3F"/>
    <w:rsid w:val="00631DBC"/>
    <w:rsid w:val="006329C8"/>
    <w:rsid w:val="006361DD"/>
    <w:rsid w:val="0063676A"/>
    <w:rsid w:val="00637F88"/>
    <w:rsid w:val="0064276F"/>
    <w:rsid w:val="006429D9"/>
    <w:rsid w:val="00642AC2"/>
    <w:rsid w:val="00642B3B"/>
    <w:rsid w:val="0064450F"/>
    <w:rsid w:val="00645618"/>
    <w:rsid w:val="0064588C"/>
    <w:rsid w:val="00647955"/>
    <w:rsid w:val="006509F9"/>
    <w:rsid w:val="00651B4E"/>
    <w:rsid w:val="00652513"/>
    <w:rsid w:val="006528D4"/>
    <w:rsid w:val="00652D29"/>
    <w:rsid w:val="00653809"/>
    <w:rsid w:val="00653C77"/>
    <w:rsid w:val="0065599D"/>
    <w:rsid w:val="006608FB"/>
    <w:rsid w:val="0066162C"/>
    <w:rsid w:val="006624DB"/>
    <w:rsid w:val="00662515"/>
    <w:rsid w:val="00662BA3"/>
    <w:rsid w:val="00663BD1"/>
    <w:rsid w:val="00666FF1"/>
    <w:rsid w:val="00667E80"/>
    <w:rsid w:val="0067059F"/>
    <w:rsid w:val="00670EDE"/>
    <w:rsid w:val="0067237C"/>
    <w:rsid w:val="00672655"/>
    <w:rsid w:val="00672669"/>
    <w:rsid w:val="00673984"/>
    <w:rsid w:val="006741FA"/>
    <w:rsid w:val="00675FB7"/>
    <w:rsid w:val="00676EA7"/>
    <w:rsid w:val="00677D7D"/>
    <w:rsid w:val="00681538"/>
    <w:rsid w:val="006827E6"/>
    <w:rsid w:val="00683740"/>
    <w:rsid w:val="00684149"/>
    <w:rsid w:val="00691FFC"/>
    <w:rsid w:val="00694933"/>
    <w:rsid w:val="00694F8D"/>
    <w:rsid w:val="00695AA8"/>
    <w:rsid w:val="0069684D"/>
    <w:rsid w:val="006973F1"/>
    <w:rsid w:val="006976DE"/>
    <w:rsid w:val="006A01E7"/>
    <w:rsid w:val="006A0C2B"/>
    <w:rsid w:val="006A1390"/>
    <w:rsid w:val="006A33A8"/>
    <w:rsid w:val="006A3E90"/>
    <w:rsid w:val="006A40E9"/>
    <w:rsid w:val="006A497E"/>
    <w:rsid w:val="006A526B"/>
    <w:rsid w:val="006A5D60"/>
    <w:rsid w:val="006A6654"/>
    <w:rsid w:val="006A7BC5"/>
    <w:rsid w:val="006A7F2A"/>
    <w:rsid w:val="006A7FE1"/>
    <w:rsid w:val="006B21DB"/>
    <w:rsid w:val="006B3E4D"/>
    <w:rsid w:val="006B3E8D"/>
    <w:rsid w:val="006B45A1"/>
    <w:rsid w:val="006B6AC1"/>
    <w:rsid w:val="006B7134"/>
    <w:rsid w:val="006B7195"/>
    <w:rsid w:val="006B738B"/>
    <w:rsid w:val="006B7473"/>
    <w:rsid w:val="006B784D"/>
    <w:rsid w:val="006B7E8B"/>
    <w:rsid w:val="006C04D1"/>
    <w:rsid w:val="006C12C0"/>
    <w:rsid w:val="006C228D"/>
    <w:rsid w:val="006C294B"/>
    <w:rsid w:val="006C2E6B"/>
    <w:rsid w:val="006C3426"/>
    <w:rsid w:val="006C38F2"/>
    <w:rsid w:val="006C3EFF"/>
    <w:rsid w:val="006C4F04"/>
    <w:rsid w:val="006C508E"/>
    <w:rsid w:val="006C51ED"/>
    <w:rsid w:val="006C55A1"/>
    <w:rsid w:val="006C59AA"/>
    <w:rsid w:val="006C5F5D"/>
    <w:rsid w:val="006C65C3"/>
    <w:rsid w:val="006C671B"/>
    <w:rsid w:val="006C7436"/>
    <w:rsid w:val="006C7E1A"/>
    <w:rsid w:val="006D0049"/>
    <w:rsid w:val="006D0A0A"/>
    <w:rsid w:val="006D0E8C"/>
    <w:rsid w:val="006D150E"/>
    <w:rsid w:val="006D1AF7"/>
    <w:rsid w:val="006D25E2"/>
    <w:rsid w:val="006D5982"/>
    <w:rsid w:val="006D7570"/>
    <w:rsid w:val="006D78C3"/>
    <w:rsid w:val="006E0689"/>
    <w:rsid w:val="006E0DBA"/>
    <w:rsid w:val="006E2062"/>
    <w:rsid w:val="006E2232"/>
    <w:rsid w:val="006E35C9"/>
    <w:rsid w:val="006E3A04"/>
    <w:rsid w:val="006E4155"/>
    <w:rsid w:val="006E4415"/>
    <w:rsid w:val="006E69C9"/>
    <w:rsid w:val="006E6C9A"/>
    <w:rsid w:val="006F2C8B"/>
    <w:rsid w:val="006F3465"/>
    <w:rsid w:val="006F37B3"/>
    <w:rsid w:val="006F393C"/>
    <w:rsid w:val="006F5CA9"/>
    <w:rsid w:val="006F678E"/>
    <w:rsid w:val="006F7A27"/>
    <w:rsid w:val="006F7E12"/>
    <w:rsid w:val="0070011E"/>
    <w:rsid w:val="00701006"/>
    <w:rsid w:val="007015D7"/>
    <w:rsid w:val="00701D52"/>
    <w:rsid w:val="00701E46"/>
    <w:rsid w:val="007024F5"/>
    <w:rsid w:val="00702566"/>
    <w:rsid w:val="00702FC3"/>
    <w:rsid w:val="00703B31"/>
    <w:rsid w:val="00705558"/>
    <w:rsid w:val="007101E4"/>
    <w:rsid w:val="00710D5D"/>
    <w:rsid w:val="00711F6A"/>
    <w:rsid w:val="007128C3"/>
    <w:rsid w:val="0071365A"/>
    <w:rsid w:val="00713B60"/>
    <w:rsid w:val="0071479C"/>
    <w:rsid w:val="00714A64"/>
    <w:rsid w:val="00715192"/>
    <w:rsid w:val="007156A1"/>
    <w:rsid w:val="007161EA"/>
    <w:rsid w:val="007173D7"/>
    <w:rsid w:val="00717D66"/>
    <w:rsid w:val="0072157C"/>
    <w:rsid w:val="007229AC"/>
    <w:rsid w:val="00723109"/>
    <w:rsid w:val="007235B4"/>
    <w:rsid w:val="0072397E"/>
    <w:rsid w:val="00723FBD"/>
    <w:rsid w:val="0072480F"/>
    <w:rsid w:val="007263DB"/>
    <w:rsid w:val="00727199"/>
    <w:rsid w:val="0073014A"/>
    <w:rsid w:val="00731106"/>
    <w:rsid w:val="00731B24"/>
    <w:rsid w:val="00732341"/>
    <w:rsid w:val="0073296B"/>
    <w:rsid w:val="00733679"/>
    <w:rsid w:val="0073512F"/>
    <w:rsid w:val="0073584D"/>
    <w:rsid w:val="00736DE4"/>
    <w:rsid w:val="0073742D"/>
    <w:rsid w:val="00740769"/>
    <w:rsid w:val="00742647"/>
    <w:rsid w:val="0074416B"/>
    <w:rsid w:val="0074500A"/>
    <w:rsid w:val="00745C32"/>
    <w:rsid w:val="0074628A"/>
    <w:rsid w:val="00746AFF"/>
    <w:rsid w:val="0075091B"/>
    <w:rsid w:val="00750F2F"/>
    <w:rsid w:val="00751DE3"/>
    <w:rsid w:val="00752729"/>
    <w:rsid w:val="007538B2"/>
    <w:rsid w:val="00753F74"/>
    <w:rsid w:val="007553E2"/>
    <w:rsid w:val="00756612"/>
    <w:rsid w:val="00756C57"/>
    <w:rsid w:val="007577B4"/>
    <w:rsid w:val="00757F2E"/>
    <w:rsid w:val="00757FCC"/>
    <w:rsid w:val="00760B03"/>
    <w:rsid w:val="00760BC7"/>
    <w:rsid w:val="0076107E"/>
    <w:rsid w:val="007642F1"/>
    <w:rsid w:val="0076430A"/>
    <w:rsid w:val="00764DAD"/>
    <w:rsid w:val="007654D1"/>
    <w:rsid w:val="00765E66"/>
    <w:rsid w:val="00766613"/>
    <w:rsid w:val="007671D1"/>
    <w:rsid w:val="0077302A"/>
    <w:rsid w:val="00774F23"/>
    <w:rsid w:val="007758F1"/>
    <w:rsid w:val="00775A82"/>
    <w:rsid w:val="0077775A"/>
    <w:rsid w:val="00780836"/>
    <w:rsid w:val="00780C70"/>
    <w:rsid w:val="00781182"/>
    <w:rsid w:val="00782202"/>
    <w:rsid w:val="00782754"/>
    <w:rsid w:val="007849C9"/>
    <w:rsid w:val="0078593D"/>
    <w:rsid w:val="00786ABA"/>
    <w:rsid w:val="00787FA6"/>
    <w:rsid w:val="007911AF"/>
    <w:rsid w:val="0079191F"/>
    <w:rsid w:val="00793A15"/>
    <w:rsid w:val="00793ECA"/>
    <w:rsid w:val="0079404E"/>
    <w:rsid w:val="00796900"/>
    <w:rsid w:val="00796B33"/>
    <w:rsid w:val="007A0CCC"/>
    <w:rsid w:val="007A17EB"/>
    <w:rsid w:val="007A40DA"/>
    <w:rsid w:val="007A4462"/>
    <w:rsid w:val="007A5C4E"/>
    <w:rsid w:val="007A6316"/>
    <w:rsid w:val="007A6457"/>
    <w:rsid w:val="007A68EB"/>
    <w:rsid w:val="007A7935"/>
    <w:rsid w:val="007B12A5"/>
    <w:rsid w:val="007B1AA3"/>
    <w:rsid w:val="007B4D6A"/>
    <w:rsid w:val="007B4F53"/>
    <w:rsid w:val="007B56E7"/>
    <w:rsid w:val="007B5BA7"/>
    <w:rsid w:val="007B6725"/>
    <w:rsid w:val="007B7695"/>
    <w:rsid w:val="007B7D08"/>
    <w:rsid w:val="007C0698"/>
    <w:rsid w:val="007C2312"/>
    <w:rsid w:val="007C320A"/>
    <w:rsid w:val="007C364A"/>
    <w:rsid w:val="007C381E"/>
    <w:rsid w:val="007C392A"/>
    <w:rsid w:val="007C3A61"/>
    <w:rsid w:val="007C42A8"/>
    <w:rsid w:val="007C43DF"/>
    <w:rsid w:val="007C4A9F"/>
    <w:rsid w:val="007D0000"/>
    <w:rsid w:val="007D02BD"/>
    <w:rsid w:val="007D0CE9"/>
    <w:rsid w:val="007D1A04"/>
    <w:rsid w:val="007D3291"/>
    <w:rsid w:val="007D35BD"/>
    <w:rsid w:val="007D4D0B"/>
    <w:rsid w:val="007D4E5A"/>
    <w:rsid w:val="007D595F"/>
    <w:rsid w:val="007D638D"/>
    <w:rsid w:val="007D6C87"/>
    <w:rsid w:val="007E0F55"/>
    <w:rsid w:val="007E143C"/>
    <w:rsid w:val="007E17FB"/>
    <w:rsid w:val="007E2048"/>
    <w:rsid w:val="007E223A"/>
    <w:rsid w:val="007E28F2"/>
    <w:rsid w:val="007E2CB9"/>
    <w:rsid w:val="007E34AD"/>
    <w:rsid w:val="007E34E4"/>
    <w:rsid w:val="007E4A15"/>
    <w:rsid w:val="007E5210"/>
    <w:rsid w:val="007E52A7"/>
    <w:rsid w:val="007E52CB"/>
    <w:rsid w:val="007E6CBE"/>
    <w:rsid w:val="007E7865"/>
    <w:rsid w:val="007F044F"/>
    <w:rsid w:val="007F12B5"/>
    <w:rsid w:val="007F16F2"/>
    <w:rsid w:val="007F3427"/>
    <w:rsid w:val="007F359E"/>
    <w:rsid w:val="007F3E02"/>
    <w:rsid w:val="007F4466"/>
    <w:rsid w:val="007F48BB"/>
    <w:rsid w:val="007F604D"/>
    <w:rsid w:val="007F6995"/>
    <w:rsid w:val="007F6FA2"/>
    <w:rsid w:val="00803284"/>
    <w:rsid w:val="008037A5"/>
    <w:rsid w:val="008046D9"/>
    <w:rsid w:val="00804B2C"/>
    <w:rsid w:val="008055B2"/>
    <w:rsid w:val="0080585D"/>
    <w:rsid w:val="00805B7E"/>
    <w:rsid w:val="008079DA"/>
    <w:rsid w:val="008079FA"/>
    <w:rsid w:val="008111B4"/>
    <w:rsid w:val="00811A5D"/>
    <w:rsid w:val="0081339A"/>
    <w:rsid w:val="00813F93"/>
    <w:rsid w:val="008149B2"/>
    <w:rsid w:val="00814C6B"/>
    <w:rsid w:val="00815246"/>
    <w:rsid w:val="00816954"/>
    <w:rsid w:val="008176E7"/>
    <w:rsid w:val="00822E5B"/>
    <w:rsid w:val="0082334C"/>
    <w:rsid w:val="00823914"/>
    <w:rsid w:val="00824010"/>
    <w:rsid w:val="00824FDC"/>
    <w:rsid w:val="00827660"/>
    <w:rsid w:val="00827A22"/>
    <w:rsid w:val="00830190"/>
    <w:rsid w:val="00831BFC"/>
    <w:rsid w:val="00833AAF"/>
    <w:rsid w:val="00833D81"/>
    <w:rsid w:val="00833E65"/>
    <w:rsid w:val="00833EBF"/>
    <w:rsid w:val="00834F78"/>
    <w:rsid w:val="0083668D"/>
    <w:rsid w:val="00836FAA"/>
    <w:rsid w:val="0083726E"/>
    <w:rsid w:val="008376A4"/>
    <w:rsid w:val="00840102"/>
    <w:rsid w:val="00841FDF"/>
    <w:rsid w:val="00842179"/>
    <w:rsid w:val="008423C5"/>
    <w:rsid w:val="00842C12"/>
    <w:rsid w:val="0084366B"/>
    <w:rsid w:val="00844AC6"/>
    <w:rsid w:val="00844CDC"/>
    <w:rsid w:val="00845DCF"/>
    <w:rsid w:val="00846440"/>
    <w:rsid w:val="008465D2"/>
    <w:rsid w:val="00847653"/>
    <w:rsid w:val="008512CD"/>
    <w:rsid w:val="0085229C"/>
    <w:rsid w:val="00853E22"/>
    <w:rsid w:val="00855953"/>
    <w:rsid w:val="00855B52"/>
    <w:rsid w:val="008603CE"/>
    <w:rsid w:val="0086087D"/>
    <w:rsid w:val="008613B0"/>
    <w:rsid w:val="008616FF"/>
    <w:rsid w:val="00861D14"/>
    <w:rsid w:val="00862E83"/>
    <w:rsid w:val="008636FE"/>
    <w:rsid w:val="00863A59"/>
    <w:rsid w:val="00863CD0"/>
    <w:rsid w:val="00863D8B"/>
    <w:rsid w:val="008641C4"/>
    <w:rsid w:val="00864AFF"/>
    <w:rsid w:val="00864BDE"/>
    <w:rsid w:val="008657A1"/>
    <w:rsid w:val="00866AD9"/>
    <w:rsid w:val="00867CAB"/>
    <w:rsid w:val="00870DEF"/>
    <w:rsid w:val="0087147A"/>
    <w:rsid w:val="00871EDD"/>
    <w:rsid w:val="00871F41"/>
    <w:rsid w:val="008727F0"/>
    <w:rsid w:val="00874C5F"/>
    <w:rsid w:val="00874E6C"/>
    <w:rsid w:val="00875969"/>
    <w:rsid w:val="00877399"/>
    <w:rsid w:val="0087753F"/>
    <w:rsid w:val="00877F2F"/>
    <w:rsid w:val="00884685"/>
    <w:rsid w:val="00884BB1"/>
    <w:rsid w:val="008861C9"/>
    <w:rsid w:val="00886825"/>
    <w:rsid w:val="00886D87"/>
    <w:rsid w:val="00887FF8"/>
    <w:rsid w:val="008902FB"/>
    <w:rsid w:val="008903F2"/>
    <w:rsid w:val="00890D5C"/>
    <w:rsid w:val="00891EBA"/>
    <w:rsid w:val="00891F31"/>
    <w:rsid w:val="0089230D"/>
    <w:rsid w:val="0089242F"/>
    <w:rsid w:val="00892CAA"/>
    <w:rsid w:val="00894E57"/>
    <w:rsid w:val="0089551C"/>
    <w:rsid w:val="00895A41"/>
    <w:rsid w:val="00896B96"/>
    <w:rsid w:val="00896E56"/>
    <w:rsid w:val="00897D7B"/>
    <w:rsid w:val="008A070D"/>
    <w:rsid w:val="008A3660"/>
    <w:rsid w:val="008A4609"/>
    <w:rsid w:val="008A619D"/>
    <w:rsid w:val="008A66B2"/>
    <w:rsid w:val="008A6713"/>
    <w:rsid w:val="008A7E8B"/>
    <w:rsid w:val="008B0212"/>
    <w:rsid w:val="008B0BBB"/>
    <w:rsid w:val="008B0FAB"/>
    <w:rsid w:val="008B1C23"/>
    <w:rsid w:val="008B2118"/>
    <w:rsid w:val="008B28EE"/>
    <w:rsid w:val="008B3DF9"/>
    <w:rsid w:val="008B3F78"/>
    <w:rsid w:val="008B5359"/>
    <w:rsid w:val="008B742F"/>
    <w:rsid w:val="008B76E8"/>
    <w:rsid w:val="008C0916"/>
    <w:rsid w:val="008C1632"/>
    <w:rsid w:val="008C1E2E"/>
    <w:rsid w:val="008C451D"/>
    <w:rsid w:val="008C68DC"/>
    <w:rsid w:val="008C6939"/>
    <w:rsid w:val="008C6A18"/>
    <w:rsid w:val="008D1004"/>
    <w:rsid w:val="008D1AE4"/>
    <w:rsid w:val="008D3CD3"/>
    <w:rsid w:val="008D4235"/>
    <w:rsid w:val="008D55B2"/>
    <w:rsid w:val="008D71C8"/>
    <w:rsid w:val="008D7C68"/>
    <w:rsid w:val="008E22C6"/>
    <w:rsid w:val="008E2552"/>
    <w:rsid w:val="008E2787"/>
    <w:rsid w:val="008E2E49"/>
    <w:rsid w:val="008E3742"/>
    <w:rsid w:val="008E3856"/>
    <w:rsid w:val="008E466F"/>
    <w:rsid w:val="008E4751"/>
    <w:rsid w:val="008E4C0A"/>
    <w:rsid w:val="008E509F"/>
    <w:rsid w:val="008E612E"/>
    <w:rsid w:val="008E6697"/>
    <w:rsid w:val="008E6C60"/>
    <w:rsid w:val="008E768C"/>
    <w:rsid w:val="008E79C4"/>
    <w:rsid w:val="008F55BD"/>
    <w:rsid w:val="008F628B"/>
    <w:rsid w:val="00900AF8"/>
    <w:rsid w:val="0090151A"/>
    <w:rsid w:val="00901B1B"/>
    <w:rsid w:val="00901B2D"/>
    <w:rsid w:val="009041CE"/>
    <w:rsid w:val="009046F9"/>
    <w:rsid w:val="00904CC3"/>
    <w:rsid w:val="00905D83"/>
    <w:rsid w:val="00906498"/>
    <w:rsid w:val="0090652B"/>
    <w:rsid w:val="00906F2A"/>
    <w:rsid w:val="00907714"/>
    <w:rsid w:val="00910E5A"/>
    <w:rsid w:val="00912723"/>
    <w:rsid w:val="00912F17"/>
    <w:rsid w:val="00914CD3"/>
    <w:rsid w:val="00915896"/>
    <w:rsid w:val="00916C4F"/>
    <w:rsid w:val="0091700F"/>
    <w:rsid w:val="00917C09"/>
    <w:rsid w:val="009208BC"/>
    <w:rsid w:val="00920CB0"/>
    <w:rsid w:val="009210D6"/>
    <w:rsid w:val="009214B5"/>
    <w:rsid w:val="009217CB"/>
    <w:rsid w:val="009227A3"/>
    <w:rsid w:val="009227D1"/>
    <w:rsid w:val="00922831"/>
    <w:rsid w:val="00923EC4"/>
    <w:rsid w:val="009241A2"/>
    <w:rsid w:val="00924689"/>
    <w:rsid w:val="00926F1D"/>
    <w:rsid w:val="0093044D"/>
    <w:rsid w:val="009308C6"/>
    <w:rsid w:val="00930B04"/>
    <w:rsid w:val="009325D2"/>
    <w:rsid w:val="00933C9B"/>
    <w:rsid w:val="00934813"/>
    <w:rsid w:val="00935726"/>
    <w:rsid w:val="00935C46"/>
    <w:rsid w:val="009360D3"/>
    <w:rsid w:val="009366F0"/>
    <w:rsid w:val="009406FA"/>
    <w:rsid w:val="00940A49"/>
    <w:rsid w:val="00940F11"/>
    <w:rsid w:val="00940FDD"/>
    <w:rsid w:val="0094220B"/>
    <w:rsid w:val="009428CD"/>
    <w:rsid w:val="00944502"/>
    <w:rsid w:val="009453D1"/>
    <w:rsid w:val="00945493"/>
    <w:rsid w:val="00945F1B"/>
    <w:rsid w:val="00947A6E"/>
    <w:rsid w:val="00951274"/>
    <w:rsid w:val="00951335"/>
    <w:rsid w:val="009513E2"/>
    <w:rsid w:val="00952EDF"/>
    <w:rsid w:val="00953E58"/>
    <w:rsid w:val="009541BB"/>
    <w:rsid w:val="0095447C"/>
    <w:rsid w:val="00954A29"/>
    <w:rsid w:val="00955E41"/>
    <w:rsid w:val="009563B9"/>
    <w:rsid w:val="009572A4"/>
    <w:rsid w:val="00957A1F"/>
    <w:rsid w:val="009604E8"/>
    <w:rsid w:val="0096065D"/>
    <w:rsid w:val="00960CBA"/>
    <w:rsid w:val="00960E39"/>
    <w:rsid w:val="00961F3C"/>
    <w:rsid w:val="009621B2"/>
    <w:rsid w:val="00963021"/>
    <w:rsid w:val="00963868"/>
    <w:rsid w:val="00963F42"/>
    <w:rsid w:val="0096497D"/>
    <w:rsid w:val="00965805"/>
    <w:rsid w:val="00965E16"/>
    <w:rsid w:val="00966017"/>
    <w:rsid w:val="00967643"/>
    <w:rsid w:val="009701BC"/>
    <w:rsid w:val="00970C6C"/>
    <w:rsid w:val="0097254F"/>
    <w:rsid w:val="00972CBA"/>
    <w:rsid w:val="009741DF"/>
    <w:rsid w:val="00975A00"/>
    <w:rsid w:val="00976628"/>
    <w:rsid w:val="00977C0F"/>
    <w:rsid w:val="00981093"/>
    <w:rsid w:val="00981588"/>
    <w:rsid w:val="00981629"/>
    <w:rsid w:val="00982E7E"/>
    <w:rsid w:val="00983B1F"/>
    <w:rsid w:val="009849F7"/>
    <w:rsid w:val="00984FF8"/>
    <w:rsid w:val="009862FA"/>
    <w:rsid w:val="00986523"/>
    <w:rsid w:val="009868F4"/>
    <w:rsid w:val="00986A9A"/>
    <w:rsid w:val="00986DD0"/>
    <w:rsid w:val="0098711B"/>
    <w:rsid w:val="0098742A"/>
    <w:rsid w:val="00990928"/>
    <w:rsid w:val="009909F3"/>
    <w:rsid w:val="00990D00"/>
    <w:rsid w:val="0099240E"/>
    <w:rsid w:val="009929FB"/>
    <w:rsid w:val="0099384D"/>
    <w:rsid w:val="00993DEB"/>
    <w:rsid w:val="00995B8A"/>
    <w:rsid w:val="00995E82"/>
    <w:rsid w:val="009974BD"/>
    <w:rsid w:val="009A025E"/>
    <w:rsid w:val="009A05CB"/>
    <w:rsid w:val="009A2E36"/>
    <w:rsid w:val="009A494F"/>
    <w:rsid w:val="009A4B08"/>
    <w:rsid w:val="009A6054"/>
    <w:rsid w:val="009A6CBF"/>
    <w:rsid w:val="009A6D7B"/>
    <w:rsid w:val="009A7F34"/>
    <w:rsid w:val="009B047F"/>
    <w:rsid w:val="009B061B"/>
    <w:rsid w:val="009B0834"/>
    <w:rsid w:val="009B13EB"/>
    <w:rsid w:val="009B1BD0"/>
    <w:rsid w:val="009B2CE6"/>
    <w:rsid w:val="009B3BB3"/>
    <w:rsid w:val="009B4F84"/>
    <w:rsid w:val="009B5C47"/>
    <w:rsid w:val="009B7D4E"/>
    <w:rsid w:val="009C09BB"/>
    <w:rsid w:val="009C12FC"/>
    <w:rsid w:val="009C16B2"/>
    <w:rsid w:val="009C3BE1"/>
    <w:rsid w:val="009C5041"/>
    <w:rsid w:val="009C59E4"/>
    <w:rsid w:val="009C5C93"/>
    <w:rsid w:val="009C7754"/>
    <w:rsid w:val="009D2A70"/>
    <w:rsid w:val="009D30FE"/>
    <w:rsid w:val="009D447C"/>
    <w:rsid w:val="009D4B70"/>
    <w:rsid w:val="009D577F"/>
    <w:rsid w:val="009D5CBF"/>
    <w:rsid w:val="009D61F0"/>
    <w:rsid w:val="009D7B62"/>
    <w:rsid w:val="009D7C5B"/>
    <w:rsid w:val="009D7CCB"/>
    <w:rsid w:val="009E0220"/>
    <w:rsid w:val="009E038E"/>
    <w:rsid w:val="009E19FA"/>
    <w:rsid w:val="009E1D3B"/>
    <w:rsid w:val="009E452E"/>
    <w:rsid w:val="009E5431"/>
    <w:rsid w:val="009E5586"/>
    <w:rsid w:val="009E5F31"/>
    <w:rsid w:val="009E62B1"/>
    <w:rsid w:val="009E6BB7"/>
    <w:rsid w:val="009E75D1"/>
    <w:rsid w:val="009F0C8A"/>
    <w:rsid w:val="009F0DB0"/>
    <w:rsid w:val="009F10D3"/>
    <w:rsid w:val="009F1C94"/>
    <w:rsid w:val="009F1F53"/>
    <w:rsid w:val="009F2EED"/>
    <w:rsid w:val="009F3145"/>
    <w:rsid w:val="009F331F"/>
    <w:rsid w:val="009F560D"/>
    <w:rsid w:val="009F6B0A"/>
    <w:rsid w:val="009F6E9A"/>
    <w:rsid w:val="009F7E60"/>
    <w:rsid w:val="00A00CB5"/>
    <w:rsid w:val="00A02EAB"/>
    <w:rsid w:val="00A042AD"/>
    <w:rsid w:val="00A0574F"/>
    <w:rsid w:val="00A06968"/>
    <w:rsid w:val="00A07865"/>
    <w:rsid w:val="00A07C2C"/>
    <w:rsid w:val="00A10717"/>
    <w:rsid w:val="00A10767"/>
    <w:rsid w:val="00A11841"/>
    <w:rsid w:val="00A13834"/>
    <w:rsid w:val="00A13B68"/>
    <w:rsid w:val="00A14967"/>
    <w:rsid w:val="00A14CE5"/>
    <w:rsid w:val="00A15A39"/>
    <w:rsid w:val="00A161DB"/>
    <w:rsid w:val="00A16745"/>
    <w:rsid w:val="00A210F8"/>
    <w:rsid w:val="00A22250"/>
    <w:rsid w:val="00A222DE"/>
    <w:rsid w:val="00A228B0"/>
    <w:rsid w:val="00A22C03"/>
    <w:rsid w:val="00A23DCB"/>
    <w:rsid w:val="00A243EA"/>
    <w:rsid w:val="00A2536B"/>
    <w:rsid w:val="00A31D19"/>
    <w:rsid w:val="00A34319"/>
    <w:rsid w:val="00A3456E"/>
    <w:rsid w:val="00A34E53"/>
    <w:rsid w:val="00A35784"/>
    <w:rsid w:val="00A372E5"/>
    <w:rsid w:val="00A407B5"/>
    <w:rsid w:val="00A4166F"/>
    <w:rsid w:val="00A425D2"/>
    <w:rsid w:val="00A426B3"/>
    <w:rsid w:val="00A43047"/>
    <w:rsid w:val="00A46D08"/>
    <w:rsid w:val="00A53C60"/>
    <w:rsid w:val="00A55D2A"/>
    <w:rsid w:val="00A55E6C"/>
    <w:rsid w:val="00A56668"/>
    <w:rsid w:val="00A56CAE"/>
    <w:rsid w:val="00A57471"/>
    <w:rsid w:val="00A60F23"/>
    <w:rsid w:val="00A629C2"/>
    <w:rsid w:val="00A63B15"/>
    <w:rsid w:val="00A644C2"/>
    <w:rsid w:val="00A6691B"/>
    <w:rsid w:val="00A72D63"/>
    <w:rsid w:val="00A757E4"/>
    <w:rsid w:val="00A75B84"/>
    <w:rsid w:val="00A75EC8"/>
    <w:rsid w:val="00A75F7C"/>
    <w:rsid w:val="00A769E9"/>
    <w:rsid w:val="00A771F1"/>
    <w:rsid w:val="00A808B4"/>
    <w:rsid w:val="00A83EF5"/>
    <w:rsid w:val="00A852E6"/>
    <w:rsid w:val="00A85E11"/>
    <w:rsid w:val="00A867EA"/>
    <w:rsid w:val="00A867F6"/>
    <w:rsid w:val="00A919F9"/>
    <w:rsid w:val="00A921B3"/>
    <w:rsid w:val="00A9441F"/>
    <w:rsid w:val="00A957AF"/>
    <w:rsid w:val="00A96339"/>
    <w:rsid w:val="00A97D93"/>
    <w:rsid w:val="00AA0DFE"/>
    <w:rsid w:val="00AA175A"/>
    <w:rsid w:val="00AA1777"/>
    <w:rsid w:val="00AA497F"/>
    <w:rsid w:val="00AA6631"/>
    <w:rsid w:val="00AA6D13"/>
    <w:rsid w:val="00AA70EF"/>
    <w:rsid w:val="00AA71AB"/>
    <w:rsid w:val="00AA7B84"/>
    <w:rsid w:val="00AB09CC"/>
    <w:rsid w:val="00AB0B4F"/>
    <w:rsid w:val="00AB1BB0"/>
    <w:rsid w:val="00AB1F72"/>
    <w:rsid w:val="00AB2438"/>
    <w:rsid w:val="00AB491B"/>
    <w:rsid w:val="00AB6D29"/>
    <w:rsid w:val="00AC1171"/>
    <w:rsid w:val="00AC4222"/>
    <w:rsid w:val="00AC6D81"/>
    <w:rsid w:val="00AD1E07"/>
    <w:rsid w:val="00AD26AA"/>
    <w:rsid w:val="00AD290B"/>
    <w:rsid w:val="00AD2C7E"/>
    <w:rsid w:val="00AD37CE"/>
    <w:rsid w:val="00AD43D7"/>
    <w:rsid w:val="00AD6391"/>
    <w:rsid w:val="00AD6A2F"/>
    <w:rsid w:val="00AE2F3C"/>
    <w:rsid w:val="00AE4D3E"/>
    <w:rsid w:val="00AE4D4C"/>
    <w:rsid w:val="00AE4E8B"/>
    <w:rsid w:val="00AE4F7C"/>
    <w:rsid w:val="00AE5228"/>
    <w:rsid w:val="00AE531C"/>
    <w:rsid w:val="00AE531F"/>
    <w:rsid w:val="00AE59EB"/>
    <w:rsid w:val="00AF0A13"/>
    <w:rsid w:val="00AF289F"/>
    <w:rsid w:val="00AF29E5"/>
    <w:rsid w:val="00AF46B1"/>
    <w:rsid w:val="00AF5013"/>
    <w:rsid w:val="00AF7499"/>
    <w:rsid w:val="00AF7FC7"/>
    <w:rsid w:val="00B0195E"/>
    <w:rsid w:val="00B0231A"/>
    <w:rsid w:val="00B0278A"/>
    <w:rsid w:val="00B031FD"/>
    <w:rsid w:val="00B0368B"/>
    <w:rsid w:val="00B040A3"/>
    <w:rsid w:val="00B0670B"/>
    <w:rsid w:val="00B06F57"/>
    <w:rsid w:val="00B106B1"/>
    <w:rsid w:val="00B10967"/>
    <w:rsid w:val="00B11A6E"/>
    <w:rsid w:val="00B13221"/>
    <w:rsid w:val="00B13A3F"/>
    <w:rsid w:val="00B14606"/>
    <w:rsid w:val="00B1485F"/>
    <w:rsid w:val="00B14882"/>
    <w:rsid w:val="00B14E43"/>
    <w:rsid w:val="00B153C8"/>
    <w:rsid w:val="00B158E5"/>
    <w:rsid w:val="00B15AAA"/>
    <w:rsid w:val="00B162F1"/>
    <w:rsid w:val="00B17531"/>
    <w:rsid w:val="00B175EB"/>
    <w:rsid w:val="00B20C56"/>
    <w:rsid w:val="00B22109"/>
    <w:rsid w:val="00B2222A"/>
    <w:rsid w:val="00B2336F"/>
    <w:rsid w:val="00B23402"/>
    <w:rsid w:val="00B2431A"/>
    <w:rsid w:val="00B24AFD"/>
    <w:rsid w:val="00B300AB"/>
    <w:rsid w:val="00B30725"/>
    <w:rsid w:val="00B30E7C"/>
    <w:rsid w:val="00B31243"/>
    <w:rsid w:val="00B31C64"/>
    <w:rsid w:val="00B330B1"/>
    <w:rsid w:val="00B331BA"/>
    <w:rsid w:val="00B331F6"/>
    <w:rsid w:val="00B33CC4"/>
    <w:rsid w:val="00B356A1"/>
    <w:rsid w:val="00B40730"/>
    <w:rsid w:val="00B4127A"/>
    <w:rsid w:val="00B41437"/>
    <w:rsid w:val="00B423A6"/>
    <w:rsid w:val="00B42799"/>
    <w:rsid w:val="00B430F7"/>
    <w:rsid w:val="00B44113"/>
    <w:rsid w:val="00B455C4"/>
    <w:rsid w:val="00B45D8D"/>
    <w:rsid w:val="00B46496"/>
    <w:rsid w:val="00B4797A"/>
    <w:rsid w:val="00B479F8"/>
    <w:rsid w:val="00B50305"/>
    <w:rsid w:val="00B534B9"/>
    <w:rsid w:val="00B53698"/>
    <w:rsid w:val="00B54B22"/>
    <w:rsid w:val="00B5527E"/>
    <w:rsid w:val="00B55A87"/>
    <w:rsid w:val="00B55BF2"/>
    <w:rsid w:val="00B562C6"/>
    <w:rsid w:val="00B57992"/>
    <w:rsid w:val="00B60E5C"/>
    <w:rsid w:val="00B61544"/>
    <w:rsid w:val="00B615EC"/>
    <w:rsid w:val="00B61D35"/>
    <w:rsid w:val="00B61EF7"/>
    <w:rsid w:val="00B62CA6"/>
    <w:rsid w:val="00B637D7"/>
    <w:rsid w:val="00B67218"/>
    <w:rsid w:val="00B702E3"/>
    <w:rsid w:val="00B709C7"/>
    <w:rsid w:val="00B71A3C"/>
    <w:rsid w:val="00B71A90"/>
    <w:rsid w:val="00B72426"/>
    <w:rsid w:val="00B73137"/>
    <w:rsid w:val="00B738A7"/>
    <w:rsid w:val="00B73900"/>
    <w:rsid w:val="00B74702"/>
    <w:rsid w:val="00B779B5"/>
    <w:rsid w:val="00B8255B"/>
    <w:rsid w:val="00B830F6"/>
    <w:rsid w:val="00B834E7"/>
    <w:rsid w:val="00B848EC"/>
    <w:rsid w:val="00B85052"/>
    <w:rsid w:val="00B85673"/>
    <w:rsid w:val="00B861E1"/>
    <w:rsid w:val="00B866B5"/>
    <w:rsid w:val="00B86A3E"/>
    <w:rsid w:val="00B87913"/>
    <w:rsid w:val="00B900B8"/>
    <w:rsid w:val="00B90EF5"/>
    <w:rsid w:val="00B9349D"/>
    <w:rsid w:val="00B9451A"/>
    <w:rsid w:val="00B95F5E"/>
    <w:rsid w:val="00B96F05"/>
    <w:rsid w:val="00B96F62"/>
    <w:rsid w:val="00BA0F3C"/>
    <w:rsid w:val="00BA12FB"/>
    <w:rsid w:val="00BA3388"/>
    <w:rsid w:val="00BA39B4"/>
    <w:rsid w:val="00BA5EA9"/>
    <w:rsid w:val="00BA61D7"/>
    <w:rsid w:val="00BA6C3C"/>
    <w:rsid w:val="00BA6DC6"/>
    <w:rsid w:val="00BB0D7B"/>
    <w:rsid w:val="00BB0DE1"/>
    <w:rsid w:val="00BB10C2"/>
    <w:rsid w:val="00BB179B"/>
    <w:rsid w:val="00BB1CBA"/>
    <w:rsid w:val="00BB31CF"/>
    <w:rsid w:val="00BB3B1A"/>
    <w:rsid w:val="00BB4527"/>
    <w:rsid w:val="00BB48E9"/>
    <w:rsid w:val="00BB4E8B"/>
    <w:rsid w:val="00BB51A3"/>
    <w:rsid w:val="00BB55AF"/>
    <w:rsid w:val="00BB5F1F"/>
    <w:rsid w:val="00BB74A6"/>
    <w:rsid w:val="00BB7BAB"/>
    <w:rsid w:val="00BC1726"/>
    <w:rsid w:val="00BC1FE6"/>
    <w:rsid w:val="00BC2192"/>
    <w:rsid w:val="00BC2895"/>
    <w:rsid w:val="00BC2B5A"/>
    <w:rsid w:val="00BC528D"/>
    <w:rsid w:val="00BC5553"/>
    <w:rsid w:val="00BC76CF"/>
    <w:rsid w:val="00BC790D"/>
    <w:rsid w:val="00BD1260"/>
    <w:rsid w:val="00BD166F"/>
    <w:rsid w:val="00BD1F2C"/>
    <w:rsid w:val="00BD353F"/>
    <w:rsid w:val="00BD5E32"/>
    <w:rsid w:val="00BD662A"/>
    <w:rsid w:val="00BD6945"/>
    <w:rsid w:val="00BD73EB"/>
    <w:rsid w:val="00BE3783"/>
    <w:rsid w:val="00BE37AE"/>
    <w:rsid w:val="00BE4082"/>
    <w:rsid w:val="00BE47A8"/>
    <w:rsid w:val="00BE6326"/>
    <w:rsid w:val="00BE6433"/>
    <w:rsid w:val="00BE73AD"/>
    <w:rsid w:val="00BF0FB0"/>
    <w:rsid w:val="00BF0FC1"/>
    <w:rsid w:val="00BF147C"/>
    <w:rsid w:val="00BF4116"/>
    <w:rsid w:val="00BF43B1"/>
    <w:rsid w:val="00BF4BA3"/>
    <w:rsid w:val="00BF51B4"/>
    <w:rsid w:val="00BF5C45"/>
    <w:rsid w:val="00BF5C76"/>
    <w:rsid w:val="00BF6520"/>
    <w:rsid w:val="00BF67EA"/>
    <w:rsid w:val="00BF7176"/>
    <w:rsid w:val="00BF7538"/>
    <w:rsid w:val="00C00631"/>
    <w:rsid w:val="00C009D1"/>
    <w:rsid w:val="00C00B2D"/>
    <w:rsid w:val="00C01881"/>
    <w:rsid w:val="00C03257"/>
    <w:rsid w:val="00C048E5"/>
    <w:rsid w:val="00C05665"/>
    <w:rsid w:val="00C05ED6"/>
    <w:rsid w:val="00C07608"/>
    <w:rsid w:val="00C100A2"/>
    <w:rsid w:val="00C101C9"/>
    <w:rsid w:val="00C10AA9"/>
    <w:rsid w:val="00C11224"/>
    <w:rsid w:val="00C11AC3"/>
    <w:rsid w:val="00C1235E"/>
    <w:rsid w:val="00C12547"/>
    <w:rsid w:val="00C128B4"/>
    <w:rsid w:val="00C135B8"/>
    <w:rsid w:val="00C13757"/>
    <w:rsid w:val="00C142AE"/>
    <w:rsid w:val="00C14799"/>
    <w:rsid w:val="00C14B12"/>
    <w:rsid w:val="00C14BCC"/>
    <w:rsid w:val="00C14F3A"/>
    <w:rsid w:val="00C1564A"/>
    <w:rsid w:val="00C161BE"/>
    <w:rsid w:val="00C164EA"/>
    <w:rsid w:val="00C17533"/>
    <w:rsid w:val="00C20377"/>
    <w:rsid w:val="00C20AE7"/>
    <w:rsid w:val="00C21569"/>
    <w:rsid w:val="00C2403B"/>
    <w:rsid w:val="00C249EE"/>
    <w:rsid w:val="00C250CC"/>
    <w:rsid w:val="00C26073"/>
    <w:rsid w:val="00C26DB8"/>
    <w:rsid w:val="00C27854"/>
    <w:rsid w:val="00C279D0"/>
    <w:rsid w:val="00C27BEA"/>
    <w:rsid w:val="00C27F02"/>
    <w:rsid w:val="00C302F6"/>
    <w:rsid w:val="00C30C16"/>
    <w:rsid w:val="00C32484"/>
    <w:rsid w:val="00C3284F"/>
    <w:rsid w:val="00C33CEA"/>
    <w:rsid w:val="00C340BF"/>
    <w:rsid w:val="00C3433F"/>
    <w:rsid w:val="00C36D25"/>
    <w:rsid w:val="00C37128"/>
    <w:rsid w:val="00C3741F"/>
    <w:rsid w:val="00C37684"/>
    <w:rsid w:val="00C40075"/>
    <w:rsid w:val="00C412F2"/>
    <w:rsid w:val="00C42976"/>
    <w:rsid w:val="00C42980"/>
    <w:rsid w:val="00C45AEF"/>
    <w:rsid w:val="00C506FE"/>
    <w:rsid w:val="00C50ED6"/>
    <w:rsid w:val="00C52456"/>
    <w:rsid w:val="00C5257A"/>
    <w:rsid w:val="00C53282"/>
    <w:rsid w:val="00C535F2"/>
    <w:rsid w:val="00C53A42"/>
    <w:rsid w:val="00C54C55"/>
    <w:rsid w:val="00C54FE9"/>
    <w:rsid w:val="00C55FDB"/>
    <w:rsid w:val="00C56CFF"/>
    <w:rsid w:val="00C60CC9"/>
    <w:rsid w:val="00C60DFB"/>
    <w:rsid w:val="00C61FFA"/>
    <w:rsid w:val="00C62C30"/>
    <w:rsid w:val="00C64D62"/>
    <w:rsid w:val="00C659C7"/>
    <w:rsid w:val="00C660EF"/>
    <w:rsid w:val="00C723E7"/>
    <w:rsid w:val="00C762FB"/>
    <w:rsid w:val="00C76964"/>
    <w:rsid w:val="00C76A61"/>
    <w:rsid w:val="00C76E11"/>
    <w:rsid w:val="00C77169"/>
    <w:rsid w:val="00C772EF"/>
    <w:rsid w:val="00C77A54"/>
    <w:rsid w:val="00C80A88"/>
    <w:rsid w:val="00C81684"/>
    <w:rsid w:val="00C81FD5"/>
    <w:rsid w:val="00C82577"/>
    <w:rsid w:val="00C835B7"/>
    <w:rsid w:val="00C85AD4"/>
    <w:rsid w:val="00C860A2"/>
    <w:rsid w:val="00C90CDE"/>
    <w:rsid w:val="00C92539"/>
    <w:rsid w:val="00C932B8"/>
    <w:rsid w:val="00C93D2B"/>
    <w:rsid w:val="00C9569A"/>
    <w:rsid w:val="00C966C4"/>
    <w:rsid w:val="00C96A74"/>
    <w:rsid w:val="00CA0316"/>
    <w:rsid w:val="00CA0460"/>
    <w:rsid w:val="00CA1225"/>
    <w:rsid w:val="00CA1A2C"/>
    <w:rsid w:val="00CA1E62"/>
    <w:rsid w:val="00CA3306"/>
    <w:rsid w:val="00CA3AF0"/>
    <w:rsid w:val="00CA5ADB"/>
    <w:rsid w:val="00CA600E"/>
    <w:rsid w:val="00CB07F2"/>
    <w:rsid w:val="00CB1A7A"/>
    <w:rsid w:val="00CB270C"/>
    <w:rsid w:val="00CB2AEF"/>
    <w:rsid w:val="00CB2C69"/>
    <w:rsid w:val="00CB34B8"/>
    <w:rsid w:val="00CB4637"/>
    <w:rsid w:val="00CB4840"/>
    <w:rsid w:val="00CB4E9C"/>
    <w:rsid w:val="00CB6F93"/>
    <w:rsid w:val="00CB7208"/>
    <w:rsid w:val="00CB74CE"/>
    <w:rsid w:val="00CC3212"/>
    <w:rsid w:val="00CC3485"/>
    <w:rsid w:val="00CC37C5"/>
    <w:rsid w:val="00CC55C7"/>
    <w:rsid w:val="00CC6DE7"/>
    <w:rsid w:val="00CC705E"/>
    <w:rsid w:val="00CD00C7"/>
    <w:rsid w:val="00CD116C"/>
    <w:rsid w:val="00CD5702"/>
    <w:rsid w:val="00CD5B34"/>
    <w:rsid w:val="00CD600C"/>
    <w:rsid w:val="00CD609B"/>
    <w:rsid w:val="00CD6E53"/>
    <w:rsid w:val="00CD7BA2"/>
    <w:rsid w:val="00CD7ECF"/>
    <w:rsid w:val="00CE4376"/>
    <w:rsid w:val="00CE4896"/>
    <w:rsid w:val="00CE507E"/>
    <w:rsid w:val="00CE5DAC"/>
    <w:rsid w:val="00CE78D7"/>
    <w:rsid w:val="00CF0B15"/>
    <w:rsid w:val="00CF15DB"/>
    <w:rsid w:val="00CF2305"/>
    <w:rsid w:val="00CF3E87"/>
    <w:rsid w:val="00CF67F5"/>
    <w:rsid w:val="00CF6847"/>
    <w:rsid w:val="00CF686A"/>
    <w:rsid w:val="00CF7586"/>
    <w:rsid w:val="00D003A0"/>
    <w:rsid w:val="00D01B67"/>
    <w:rsid w:val="00D01F79"/>
    <w:rsid w:val="00D02381"/>
    <w:rsid w:val="00D047FA"/>
    <w:rsid w:val="00D04E88"/>
    <w:rsid w:val="00D053C2"/>
    <w:rsid w:val="00D07FDD"/>
    <w:rsid w:val="00D100A5"/>
    <w:rsid w:val="00D10F25"/>
    <w:rsid w:val="00D11861"/>
    <w:rsid w:val="00D13048"/>
    <w:rsid w:val="00D139EB"/>
    <w:rsid w:val="00D140AB"/>
    <w:rsid w:val="00D146A6"/>
    <w:rsid w:val="00D148D3"/>
    <w:rsid w:val="00D153E0"/>
    <w:rsid w:val="00D15D67"/>
    <w:rsid w:val="00D15F9A"/>
    <w:rsid w:val="00D16701"/>
    <w:rsid w:val="00D16E68"/>
    <w:rsid w:val="00D21228"/>
    <w:rsid w:val="00D21EBB"/>
    <w:rsid w:val="00D2217D"/>
    <w:rsid w:val="00D233D4"/>
    <w:rsid w:val="00D235D5"/>
    <w:rsid w:val="00D23AC9"/>
    <w:rsid w:val="00D23F9E"/>
    <w:rsid w:val="00D243AE"/>
    <w:rsid w:val="00D2465E"/>
    <w:rsid w:val="00D247D4"/>
    <w:rsid w:val="00D24801"/>
    <w:rsid w:val="00D26121"/>
    <w:rsid w:val="00D26701"/>
    <w:rsid w:val="00D3064E"/>
    <w:rsid w:val="00D30BF9"/>
    <w:rsid w:val="00D30EF1"/>
    <w:rsid w:val="00D317E8"/>
    <w:rsid w:val="00D33F37"/>
    <w:rsid w:val="00D342D2"/>
    <w:rsid w:val="00D355C6"/>
    <w:rsid w:val="00D3570E"/>
    <w:rsid w:val="00D3656B"/>
    <w:rsid w:val="00D36AD3"/>
    <w:rsid w:val="00D36E66"/>
    <w:rsid w:val="00D401D9"/>
    <w:rsid w:val="00D41BF5"/>
    <w:rsid w:val="00D41D0F"/>
    <w:rsid w:val="00D420E7"/>
    <w:rsid w:val="00D43693"/>
    <w:rsid w:val="00D43DC2"/>
    <w:rsid w:val="00D464C5"/>
    <w:rsid w:val="00D50D4C"/>
    <w:rsid w:val="00D51858"/>
    <w:rsid w:val="00D52DEF"/>
    <w:rsid w:val="00D5354B"/>
    <w:rsid w:val="00D54CC1"/>
    <w:rsid w:val="00D569A3"/>
    <w:rsid w:val="00D57E46"/>
    <w:rsid w:val="00D62625"/>
    <w:rsid w:val="00D62891"/>
    <w:rsid w:val="00D70B87"/>
    <w:rsid w:val="00D72845"/>
    <w:rsid w:val="00D72CDB"/>
    <w:rsid w:val="00D72EFB"/>
    <w:rsid w:val="00D73870"/>
    <w:rsid w:val="00D745B2"/>
    <w:rsid w:val="00D75664"/>
    <w:rsid w:val="00D7610C"/>
    <w:rsid w:val="00D77120"/>
    <w:rsid w:val="00D777DD"/>
    <w:rsid w:val="00D8093A"/>
    <w:rsid w:val="00D810FB"/>
    <w:rsid w:val="00D8127C"/>
    <w:rsid w:val="00D81C2F"/>
    <w:rsid w:val="00D82617"/>
    <w:rsid w:val="00D82981"/>
    <w:rsid w:val="00D8330C"/>
    <w:rsid w:val="00D838C4"/>
    <w:rsid w:val="00D86451"/>
    <w:rsid w:val="00D87816"/>
    <w:rsid w:val="00D91C7A"/>
    <w:rsid w:val="00D91D0D"/>
    <w:rsid w:val="00D93880"/>
    <w:rsid w:val="00D945BD"/>
    <w:rsid w:val="00D946CF"/>
    <w:rsid w:val="00D9542A"/>
    <w:rsid w:val="00D95E6E"/>
    <w:rsid w:val="00D974A2"/>
    <w:rsid w:val="00D97876"/>
    <w:rsid w:val="00DA0078"/>
    <w:rsid w:val="00DA0900"/>
    <w:rsid w:val="00DA2795"/>
    <w:rsid w:val="00DA289C"/>
    <w:rsid w:val="00DA28E6"/>
    <w:rsid w:val="00DA2ABE"/>
    <w:rsid w:val="00DA30D0"/>
    <w:rsid w:val="00DA3398"/>
    <w:rsid w:val="00DA4450"/>
    <w:rsid w:val="00DA5066"/>
    <w:rsid w:val="00DA7FD5"/>
    <w:rsid w:val="00DB2143"/>
    <w:rsid w:val="00DB2233"/>
    <w:rsid w:val="00DB370E"/>
    <w:rsid w:val="00DB39AA"/>
    <w:rsid w:val="00DB4838"/>
    <w:rsid w:val="00DB5094"/>
    <w:rsid w:val="00DC0982"/>
    <w:rsid w:val="00DC5B91"/>
    <w:rsid w:val="00DC5DD4"/>
    <w:rsid w:val="00DC7625"/>
    <w:rsid w:val="00DC7BB5"/>
    <w:rsid w:val="00DD1DBA"/>
    <w:rsid w:val="00DD2108"/>
    <w:rsid w:val="00DD2120"/>
    <w:rsid w:val="00DD2A7B"/>
    <w:rsid w:val="00DD392C"/>
    <w:rsid w:val="00DD3D0A"/>
    <w:rsid w:val="00DD3D40"/>
    <w:rsid w:val="00DD3FBE"/>
    <w:rsid w:val="00DD4180"/>
    <w:rsid w:val="00DD45B3"/>
    <w:rsid w:val="00DD463A"/>
    <w:rsid w:val="00DD5481"/>
    <w:rsid w:val="00DE06B6"/>
    <w:rsid w:val="00DE10CA"/>
    <w:rsid w:val="00DE4976"/>
    <w:rsid w:val="00DE5CF8"/>
    <w:rsid w:val="00DE66D3"/>
    <w:rsid w:val="00DE6E1D"/>
    <w:rsid w:val="00DE715A"/>
    <w:rsid w:val="00DF0843"/>
    <w:rsid w:val="00DF2720"/>
    <w:rsid w:val="00DF3D5C"/>
    <w:rsid w:val="00DF42DC"/>
    <w:rsid w:val="00DF4AC5"/>
    <w:rsid w:val="00DF5D79"/>
    <w:rsid w:val="00DF671C"/>
    <w:rsid w:val="00E001AD"/>
    <w:rsid w:val="00E0243D"/>
    <w:rsid w:val="00E040C0"/>
    <w:rsid w:val="00E04BD1"/>
    <w:rsid w:val="00E054F3"/>
    <w:rsid w:val="00E06BC1"/>
    <w:rsid w:val="00E107F4"/>
    <w:rsid w:val="00E120DF"/>
    <w:rsid w:val="00E12E60"/>
    <w:rsid w:val="00E12FC7"/>
    <w:rsid w:val="00E13536"/>
    <w:rsid w:val="00E13647"/>
    <w:rsid w:val="00E142CC"/>
    <w:rsid w:val="00E1483A"/>
    <w:rsid w:val="00E161BB"/>
    <w:rsid w:val="00E161C7"/>
    <w:rsid w:val="00E1694C"/>
    <w:rsid w:val="00E175F8"/>
    <w:rsid w:val="00E17EF9"/>
    <w:rsid w:val="00E209F6"/>
    <w:rsid w:val="00E22837"/>
    <w:rsid w:val="00E232DB"/>
    <w:rsid w:val="00E257DA"/>
    <w:rsid w:val="00E261CF"/>
    <w:rsid w:val="00E2777A"/>
    <w:rsid w:val="00E31592"/>
    <w:rsid w:val="00E31947"/>
    <w:rsid w:val="00E32A02"/>
    <w:rsid w:val="00E369B5"/>
    <w:rsid w:val="00E37094"/>
    <w:rsid w:val="00E409FA"/>
    <w:rsid w:val="00E43785"/>
    <w:rsid w:val="00E437EF"/>
    <w:rsid w:val="00E4510E"/>
    <w:rsid w:val="00E467C8"/>
    <w:rsid w:val="00E51DC7"/>
    <w:rsid w:val="00E51F7C"/>
    <w:rsid w:val="00E54252"/>
    <w:rsid w:val="00E56E60"/>
    <w:rsid w:val="00E60C18"/>
    <w:rsid w:val="00E616CC"/>
    <w:rsid w:val="00E61BE3"/>
    <w:rsid w:val="00E62379"/>
    <w:rsid w:val="00E63F02"/>
    <w:rsid w:val="00E64613"/>
    <w:rsid w:val="00E701E5"/>
    <w:rsid w:val="00E70881"/>
    <w:rsid w:val="00E70EA3"/>
    <w:rsid w:val="00E711F2"/>
    <w:rsid w:val="00E7270A"/>
    <w:rsid w:val="00E728C7"/>
    <w:rsid w:val="00E733BA"/>
    <w:rsid w:val="00E73A4F"/>
    <w:rsid w:val="00E73C7B"/>
    <w:rsid w:val="00E74262"/>
    <w:rsid w:val="00E74F7D"/>
    <w:rsid w:val="00E751AF"/>
    <w:rsid w:val="00E7609C"/>
    <w:rsid w:val="00E7639B"/>
    <w:rsid w:val="00E80926"/>
    <w:rsid w:val="00E80F70"/>
    <w:rsid w:val="00E82604"/>
    <w:rsid w:val="00E8293D"/>
    <w:rsid w:val="00E852AF"/>
    <w:rsid w:val="00E874AA"/>
    <w:rsid w:val="00E87624"/>
    <w:rsid w:val="00E90BF1"/>
    <w:rsid w:val="00E90CA0"/>
    <w:rsid w:val="00E90F84"/>
    <w:rsid w:val="00E91A9E"/>
    <w:rsid w:val="00E92354"/>
    <w:rsid w:val="00E92D2F"/>
    <w:rsid w:val="00E92FC6"/>
    <w:rsid w:val="00E93300"/>
    <w:rsid w:val="00E93AB2"/>
    <w:rsid w:val="00E95759"/>
    <w:rsid w:val="00E959A2"/>
    <w:rsid w:val="00E95B91"/>
    <w:rsid w:val="00E968CE"/>
    <w:rsid w:val="00E96ED2"/>
    <w:rsid w:val="00E97BA4"/>
    <w:rsid w:val="00EA0F5E"/>
    <w:rsid w:val="00EA2D2A"/>
    <w:rsid w:val="00EA4276"/>
    <w:rsid w:val="00EA4896"/>
    <w:rsid w:val="00EA53A0"/>
    <w:rsid w:val="00EA6FED"/>
    <w:rsid w:val="00EA7051"/>
    <w:rsid w:val="00EA7131"/>
    <w:rsid w:val="00EA761F"/>
    <w:rsid w:val="00EB01E5"/>
    <w:rsid w:val="00EB28DF"/>
    <w:rsid w:val="00EB4773"/>
    <w:rsid w:val="00EB6CD4"/>
    <w:rsid w:val="00EB750E"/>
    <w:rsid w:val="00EC161B"/>
    <w:rsid w:val="00EC35E8"/>
    <w:rsid w:val="00EC44F2"/>
    <w:rsid w:val="00EC4C33"/>
    <w:rsid w:val="00EC514F"/>
    <w:rsid w:val="00EC690B"/>
    <w:rsid w:val="00EC73A2"/>
    <w:rsid w:val="00ED12F1"/>
    <w:rsid w:val="00ED3255"/>
    <w:rsid w:val="00ED3AEE"/>
    <w:rsid w:val="00ED61FA"/>
    <w:rsid w:val="00ED6626"/>
    <w:rsid w:val="00ED6E39"/>
    <w:rsid w:val="00EE0D97"/>
    <w:rsid w:val="00EE2D0C"/>
    <w:rsid w:val="00EE2E15"/>
    <w:rsid w:val="00EE3E4A"/>
    <w:rsid w:val="00EE4BC9"/>
    <w:rsid w:val="00EE5022"/>
    <w:rsid w:val="00EE6DD2"/>
    <w:rsid w:val="00EE70E6"/>
    <w:rsid w:val="00EE7AB0"/>
    <w:rsid w:val="00EF0225"/>
    <w:rsid w:val="00EF0B23"/>
    <w:rsid w:val="00EF1535"/>
    <w:rsid w:val="00EF17F5"/>
    <w:rsid w:val="00EF3AE6"/>
    <w:rsid w:val="00EF4238"/>
    <w:rsid w:val="00EF6419"/>
    <w:rsid w:val="00EF65D5"/>
    <w:rsid w:val="00EF66C5"/>
    <w:rsid w:val="00EF7CB4"/>
    <w:rsid w:val="00EF7E9D"/>
    <w:rsid w:val="00F0041C"/>
    <w:rsid w:val="00F005A4"/>
    <w:rsid w:val="00F01365"/>
    <w:rsid w:val="00F01533"/>
    <w:rsid w:val="00F0345F"/>
    <w:rsid w:val="00F03F13"/>
    <w:rsid w:val="00F04249"/>
    <w:rsid w:val="00F054F2"/>
    <w:rsid w:val="00F05D89"/>
    <w:rsid w:val="00F06AC3"/>
    <w:rsid w:val="00F07331"/>
    <w:rsid w:val="00F0742C"/>
    <w:rsid w:val="00F07446"/>
    <w:rsid w:val="00F07E47"/>
    <w:rsid w:val="00F11BAE"/>
    <w:rsid w:val="00F124D5"/>
    <w:rsid w:val="00F12B32"/>
    <w:rsid w:val="00F12E4F"/>
    <w:rsid w:val="00F14090"/>
    <w:rsid w:val="00F15372"/>
    <w:rsid w:val="00F155EA"/>
    <w:rsid w:val="00F15FD1"/>
    <w:rsid w:val="00F17C71"/>
    <w:rsid w:val="00F204C0"/>
    <w:rsid w:val="00F206F1"/>
    <w:rsid w:val="00F20C93"/>
    <w:rsid w:val="00F20E36"/>
    <w:rsid w:val="00F23BA0"/>
    <w:rsid w:val="00F240DA"/>
    <w:rsid w:val="00F240E9"/>
    <w:rsid w:val="00F25A8F"/>
    <w:rsid w:val="00F261A9"/>
    <w:rsid w:val="00F26355"/>
    <w:rsid w:val="00F26A37"/>
    <w:rsid w:val="00F27120"/>
    <w:rsid w:val="00F30510"/>
    <w:rsid w:val="00F31EEC"/>
    <w:rsid w:val="00F3277B"/>
    <w:rsid w:val="00F32A84"/>
    <w:rsid w:val="00F332C3"/>
    <w:rsid w:val="00F33874"/>
    <w:rsid w:val="00F34BD3"/>
    <w:rsid w:val="00F34F9D"/>
    <w:rsid w:val="00F359CA"/>
    <w:rsid w:val="00F36769"/>
    <w:rsid w:val="00F3686C"/>
    <w:rsid w:val="00F36A25"/>
    <w:rsid w:val="00F37885"/>
    <w:rsid w:val="00F37996"/>
    <w:rsid w:val="00F37DCE"/>
    <w:rsid w:val="00F407F7"/>
    <w:rsid w:val="00F40D50"/>
    <w:rsid w:val="00F41829"/>
    <w:rsid w:val="00F41908"/>
    <w:rsid w:val="00F42017"/>
    <w:rsid w:val="00F4294C"/>
    <w:rsid w:val="00F45182"/>
    <w:rsid w:val="00F4666A"/>
    <w:rsid w:val="00F478CC"/>
    <w:rsid w:val="00F47E00"/>
    <w:rsid w:val="00F50378"/>
    <w:rsid w:val="00F50CB9"/>
    <w:rsid w:val="00F50EF1"/>
    <w:rsid w:val="00F5129B"/>
    <w:rsid w:val="00F51BF3"/>
    <w:rsid w:val="00F52BDB"/>
    <w:rsid w:val="00F554F3"/>
    <w:rsid w:val="00F557CF"/>
    <w:rsid w:val="00F6043B"/>
    <w:rsid w:val="00F604F9"/>
    <w:rsid w:val="00F610BA"/>
    <w:rsid w:val="00F61EBE"/>
    <w:rsid w:val="00F62836"/>
    <w:rsid w:val="00F637AD"/>
    <w:rsid w:val="00F64764"/>
    <w:rsid w:val="00F64862"/>
    <w:rsid w:val="00F65E56"/>
    <w:rsid w:val="00F673E9"/>
    <w:rsid w:val="00F713AE"/>
    <w:rsid w:val="00F71D5E"/>
    <w:rsid w:val="00F7357A"/>
    <w:rsid w:val="00F73D99"/>
    <w:rsid w:val="00F74DC7"/>
    <w:rsid w:val="00F77092"/>
    <w:rsid w:val="00F80C94"/>
    <w:rsid w:val="00F813C4"/>
    <w:rsid w:val="00F82876"/>
    <w:rsid w:val="00F8295A"/>
    <w:rsid w:val="00F83B8A"/>
    <w:rsid w:val="00F841C9"/>
    <w:rsid w:val="00F84A5A"/>
    <w:rsid w:val="00F854C4"/>
    <w:rsid w:val="00F86343"/>
    <w:rsid w:val="00F879AF"/>
    <w:rsid w:val="00F87FA8"/>
    <w:rsid w:val="00F909BB"/>
    <w:rsid w:val="00F9133E"/>
    <w:rsid w:val="00F91FC4"/>
    <w:rsid w:val="00F92ED5"/>
    <w:rsid w:val="00F94428"/>
    <w:rsid w:val="00F94BF8"/>
    <w:rsid w:val="00F95053"/>
    <w:rsid w:val="00FA0897"/>
    <w:rsid w:val="00FA098C"/>
    <w:rsid w:val="00FA0BBE"/>
    <w:rsid w:val="00FA14FE"/>
    <w:rsid w:val="00FA2490"/>
    <w:rsid w:val="00FA4248"/>
    <w:rsid w:val="00FA4E22"/>
    <w:rsid w:val="00FA6D93"/>
    <w:rsid w:val="00FB046F"/>
    <w:rsid w:val="00FB0DF4"/>
    <w:rsid w:val="00FB1184"/>
    <w:rsid w:val="00FB1598"/>
    <w:rsid w:val="00FB20A6"/>
    <w:rsid w:val="00FB24D3"/>
    <w:rsid w:val="00FB2D47"/>
    <w:rsid w:val="00FB328D"/>
    <w:rsid w:val="00FB3762"/>
    <w:rsid w:val="00FB40D0"/>
    <w:rsid w:val="00FB50CD"/>
    <w:rsid w:val="00FB6A23"/>
    <w:rsid w:val="00FB6E06"/>
    <w:rsid w:val="00FC0283"/>
    <w:rsid w:val="00FC0C4A"/>
    <w:rsid w:val="00FC1551"/>
    <w:rsid w:val="00FC18E9"/>
    <w:rsid w:val="00FC245C"/>
    <w:rsid w:val="00FC77E9"/>
    <w:rsid w:val="00FD28F6"/>
    <w:rsid w:val="00FD42D7"/>
    <w:rsid w:val="00FD4B77"/>
    <w:rsid w:val="00FD52D5"/>
    <w:rsid w:val="00FE0107"/>
    <w:rsid w:val="00FE1D9C"/>
    <w:rsid w:val="00FE260B"/>
    <w:rsid w:val="00FE3154"/>
    <w:rsid w:val="00FE46FF"/>
    <w:rsid w:val="00FE5F5C"/>
    <w:rsid w:val="00FE7A04"/>
    <w:rsid w:val="00FE7CB1"/>
    <w:rsid w:val="00FF07C1"/>
    <w:rsid w:val="00FF33F5"/>
    <w:rsid w:val="00FF4BD4"/>
    <w:rsid w:val="00FF4D20"/>
    <w:rsid w:val="00FF6920"/>
    <w:rsid w:val="00FF795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l">
    <w:name w:val="Normal"/>
    <w:autoRedefine/>
    <w:qFormat/>
    <w:rsid w:val="001A4B63"/>
    <w:pPr>
      <w:keepLines/>
      <w:spacing w:after="120"/>
      <w:jc w:val="both"/>
    </w:pPr>
    <w:rPr>
      <w:rFonts w:ascii="Verdana" w:hAnsi="Verdana"/>
      <w:sz w:val="16"/>
      <w:szCs w:val="16"/>
    </w:rPr>
  </w:style>
  <w:style w:type="paragraph" w:styleId="Cmsor1">
    <w:name w:val="heading 1"/>
    <w:basedOn w:val="Norml"/>
    <w:next w:val="Norml"/>
    <w:link w:val="Cmsor1Char"/>
    <w:qFormat/>
    <w:rsid w:val="003B5ED8"/>
    <w:pPr>
      <w:keepNext/>
      <w:spacing w:before="240" w:after="480"/>
      <w:jc w:val="center"/>
      <w:outlineLvl w:val="0"/>
    </w:pPr>
    <w:rPr>
      <w:rFonts w:ascii="H_Orig Garamond BT" w:hAnsi="H_Orig Garamond BT"/>
      <w:b/>
      <w:caps/>
      <w:kern w:val="28"/>
      <w:sz w:val="24"/>
      <w:szCs w:val="20"/>
    </w:rPr>
  </w:style>
  <w:style w:type="paragraph" w:styleId="Cmsor2">
    <w:name w:val="heading 2"/>
    <w:basedOn w:val="Norml"/>
    <w:next w:val="Norml"/>
    <w:link w:val="Cmsor2Char"/>
    <w:qFormat/>
    <w:rsid w:val="003B5ED8"/>
    <w:pPr>
      <w:keepNext/>
      <w:spacing w:before="240" w:after="60"/>
      <w:outlineLvl w:val="1"/>
    </w:pPr>
    <w:rPr>
      <w:b/>
    </w:rPr>
  </w:style>
  <w:style w:type="paragraph" w:styleId="Cmsor3">
    <w:name w:val="heading 3"/>
    <w:basedOn w:val="Norml"/>
    <w:next w:val="Norml"/>
    <w:link w:val="Cmsor3Char"/>
    <w:uiPriority w:val="99"/>
    <w:qFormat/>
    <w:rsid w:val="003B5ED8"/>
    <w:pPr>
      <w:keepNext/>
      <w:spacing w:before="240" w:after="60"/>
      <w:outlineLvl w:val="2"/>
    </w:pPr>
    <w:rPr>
      <w:b/>
    </w:rPr>
  </w:style>
  <w:style w:type="paragraph" w:styleId="Cmsor4">
    <w:name w:val="heading 4"/>
    <w:basedOn w:val="Norml"/>
    <w:next w:val="Norml"/>
    <w:link w:val="Cmsor4Char"/>
    <w:uiPriority w:val="99"/>
    <w:qFormat/>
    <w:rsid w:val="003B5ED8"/>
    <w:pPr>
      <w:keepNext/>
      <w:spacing w:before="120"/>
      <w:outlineLvl w:val="3"/>
    </w:pPr>
  </w:style>
  <w:style w:type="paragraph" w:styleId="Cmsor5">
    <w:name w:val="heading 5"/>
    <w:basedOn w:val="Norml"/>
    <w:next w:val="Norml"/>
    <w:link w:val="Cmsor5Char"/>
    <w:uiPriority w:val="99"/>
    <w:qFormat/>
    <w:rsid w:val="003B5ED8"/>
    <w:pPr>
      <w:spacing w:before="60" w:after="60"/>
      <w:outlineLvl w:val="4"/>
    </w:pPr>
    <w:rPr>
      <w:i/>
    </w:rPr>
  </w:style>
  <w:style w:type="paragraph" w:styleId="Cmsor6">
    <w:name w:val="heading 6"/>
    <w:basedOn w:val="Norml"/>
    <w:next w:val="Norml"/>
    <w:link w:val="Cmsor6Char"/>
    <w:uiPriority w:val="99"/>
    <w:qFormat/>
    <w:rsid w:val="003B5ED8"/>
    <w:pPr>
      <w:spacing w:before="40" w:after="40"/>
      <w:outlineLvl w:val="5"/>
    </w:pPr>
  </w:style>
  <w:style w:type="paragraph" w:styleId="Cmsor7">
    <w:name w:val="heading 7"/>
    <w:basedOn w:val="Norml"/>
    <w:next w:val="Norml"/>
    <w:link w:val="Cmsor7Char"/>
    <w:uiPriority w:val="99"/>
    <w:qFormat/>
    <w:rsid w:val="003B5ED8"/>
    <w:pPr>
      <w:keepNext/>
      <w:outlineLvl w:val="6"/>
    </w:pPr>
    <w:rPr>
      <w:u w:val="single"/>
    </w:rPr>
  </w:style>
  <w:style w:type="paragraph" w:styleId="Cmsor8">
    <w:name w:val="heading 8"/>
    <w:basedOn w:val="Norml"/>
    <w:next w:val="Norml"/>
    <w:link w:val="Cmsor8Char"/>
    <w:uiPriority w:val="99"/>
    <w:qFormat/>
    <w:rsid w:val="003B5ED8"/>
    <w:pPr>
      <w:keepNext/>
      <w:ind w:left="1440"/>
      <w:outlineLvl w:val="7"/>
    </w:pPr>
    <w:rPr>
      <w:rFonts w:ascii="H_Orig Garamond BT" w:hAnsi="H_Orig Garamond BT"/>
      <w:u w:val="single"/>
    </w:rPr>
  </w:style>
  <w:style w:type="paragraph" w:styleId="Cmsor9">
    <w:name w:val="heading 9"/>
    <w:basedOn w:val="Norml"/>
    <w:next w:val="Norml"/>
    <w:link w:val="Cmsor9Char"/>
    <w:uiPriority w:val="99"/>
    <w:qFormat/>
    <w:rsid w:val="003B5ED8"/>
    <w:pPr>
      <w:keepNext/>
      <w:ind w:firstLine="720"/>
      <w:outlineLvl w:val="8"/>
    </w:pPr>
    <w:rPr>
      <w:rFonts w:ascii="H_Orig Garamond BT" w:hAnsi="H_Orig Garamond BT"/>
      <w:b/>
      <w:i/>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D81C2F"/>
    <w:rPr>
      <w:rFonts w:ascii="H_Orig Garamond BT" w:hAnsi="H_Orig Garamond BT" w:cs="Times New Roman"/>
      <w:b/>
      <w:caps/>
      <w:kern w:val="28"/>
      <w:sz w:val="24"/>
      <w:lang w:val="hu-HU" w:eastAsia="hu-HU"/>
    </w:rPr>
  </w:style>
  <w:style w:type="character" w:customStyle="1" w:styleId="Cmsor2Char">
    <w:name w:val="Címsor 2 Char"/>
    <w:basedOn w:val="Bekezdsalapbettpusa"/>
    <w:link w:val="Cmsor2"/>
    <w:locked/>
    <w:rsid w:val="00DE4976"/>
    <w:rPr>
      <w:rFonts w:ascii="Cambria" w:hAnsi="Cambria" w:cs="Times New Roman"/>
      <w:b/>
      <w:bCs/>
      <w:i/>
      <w:iCs/>
      <w:sz w:val="28"/>
      <w:szCs w:val="28"/>
    </w:rPr>
  </w:style>
  <w:style w:type="character" w:customStyle="1" w:styleId="Cmsor3Char">
    <w:name w:val="Címsor 3 Char"/>
    <w:basedOn w:val="Bekezdsalapbettpusa"/>
    <w:link w:val="Cmsor3"/>
    <w:uiPriority w:val="99"/>
    <w:semiHidden/>
    <w:locked/>
    <w:rsid w:val="00DE4976"/>
    <w:rPr>
      <w:rFonts w:ascii="Cambria" w:hAnsi="Cambria" w:cs="Times New Roman"/>
      <w:b/>
      <w:bCs/>
      <w:sz w:val="26"/>
      <w:szCs w:val="26"/>
    </w:rPr>
  </w:style>
  <w:style w:type="character" w:customStyle="1" w:styleId="Cmsor4Char">
    <w:name w:val="Címsor 4 Char"/>
    <w:basedOn w:val="Bekezdsalapbettpusa"/>
    <w:link w:val="Cmsor4"/>
    <w:uiPriority w:val="99"/>
    <w:semiHidden/>
    <w:locked/>
    <w:rsid w:val="00DE4976"/>
    <w:rPr>
      <w:rFonts w:ascii="Calibri" w:hAnsi="Calibri" w:cs="Times New Roman"/>
      <w:b/>
      <w:bCs/>
      <w:sz w:val="28"/>
      <w:szCs w:val="28"/>
    </w:rPr>
  </w:style>
  <w:style w:type="character" w:customStyle="1" w:styleId="Cmsor5Char">
    <w:name w:val="Címsor 5 Char"/>
    <w:basedOn w:val="Bekezdsalapbettpusa"/>
    <w:link w:val="Cmsor5"/>
    <w:uiPriority w:val="99"/>
    <w:semiHidden/>
    <w:locked/>
    <w:rsid w:val="00DE4976"/>
    <w:rPr>
      <w:rFonts w:ascii="Calibri" w:hAnsi="Calibri" w:cs="Times New Roman"/>
      <w:b/>
      <w:bCs/>
      <w:i/>
      <w:iCs/>
      <w:sz w:val="26"/>
      <w:szCs w:val="26"/>
    </w:rPr>
  </w:style>
  <w:style w:type="character" w:customStyle="1" w:styleId="Cmsor6Char">
    <w:name w:val="Címsor 6 Char"/>
    <w:basedOn w:val="Bekezdsalapbettpusa"/>
    <w:link w:val="Cmsor6"/>
    <w:uiPriority w:val="99"/>
    <w:semiHidden/>
    <w:locked/>
    <w:rsid w:val="00DE4976"/>
    <w:rPr>
      <w:rFonts w:ascii="Calibri" w:hAnsi="Calibri" w:cs="Times New Roman"/>
      <w:b/>
      <w:bCs/>
    </w:rPr>
  </w:style>
  <w:style w:type="character" w:customStyle="1" w:styleId="Cmsor7Char">
    <w:name w:val="Címsor 7 Char"/>
    <w:basedOn w:val="Bekezdsalapbettpusa"/>
    <w:link w:val="Cmsor7"/>
    <w:uiPriority w:val="99"/>
    <w:semiHidden/>
    <w:locked/>
    <w:rsid w:val="00DE4976"/>
    <w:rPr>
      <w:rFonts w:ascii="Calibri" w:hAnsi="Calibri" w:cs="Times New Roman"/>
      <w:sz w:val="24"/>
      <w:szCs w:val="24"/>
    </w:rPr>
  </w:style>
  <w:style w:type="character" w:customStyle="1" w:styleId="Cmsor8Char">
    <w:name w:val="Címsor 8 Char"/>
    <w:basedOn w:val="Bekezdsalapbettpusa"/>
    <w:link w:val="Cmsor8"/>
    <w:uiPriority w:val="99"/>
    <w:semiHidden/>
    <w:locked/>
    <w:rsid w:val="00DE4976"/>
    <w:rPr>
      <w:rFonts w:ascii="Calibri" w:hAnsi="Calibri" w:cs="Times New Roman"/>
      <w:i/>
      <w:iCs/>
      <w:sz w:val="24"/>
      <w:szCs w:val="24"/>
    </w:rPr>
  </w:style>
  <w:style w:type="character" w:customStyle="1" w:styleId="Cmsor9Char">
    <w:name w:val="Címsor 9 Char"/>
    <w:basedOn w:val="Bekezdsalapbettpusa"/>
    <w:link w:val="Cmsor9"/>
    <w:uiPriority w:val="99"/>
    <w:semiHidden/>
    <w:locked/>
    <w:rsid w:val="00DE4976"/>
    <w:rPr>
      <w:rFonts w:ascii="Cambria" w:hAnsi="Cambria" w:cs="Times New Roman"/>
    </w:rPr>
  </w:style>
  <w:style w:type="paragraph" w:styleId="Trgymutat1">
    <w:name w:val="index 1"/>
    <w:basedOn w:val="Norml"/>
    <w:next w:val="Norml"/>
    <w:uiPriority w:val="99"/>
    <w:semiHidden/>
    <w:rsid w:val="003B5ED8"/>
    <w:pPr>
      <w:tabs>
        <w:tab w:val="right" w:leader="dot" w:pos="3794"/>
      </w:tabs>
      <w:ind w:left="200" w:hanging="200"/>
    </w:pPr>
  </w:style>
  <w:style w:type="paragraph" w:styleId="Trgymutat2">
    <w:name w:val="index 2"/>
    <w:basedOn w:val="Norml"/>
    <w:next w:val="Norml"/>
    <w:uiPriority w:val="99"/>
    <w:semiHidden/>
    <w:rsid w:val="003B5ED8"/>
    <w:pPr>
      <w:tabs>
        <w:tab w:val="right" w:leader="dot" w:pos="3794"/>
      </w:tabs>
      <w:ind w:left="400" w:hanging="200"/>
    </w:pPr>
  </w:style>
  <w:style w:type="paragraph" w:styleId="Trgymutat3">
    <w:name w:val="index 3"/>
    <w:basedOn w:val="Norml"/>
    <w:next w:val="Norml"/>
    <w:uiPriority w:val="99"/>
    <w:semiHidden/>
    <w:rsid w:val="003B5ED8"/>
    <w:pPr>
      <w:tabs>
        <w:tab w:val="right" w:leader="dot" w:pos="3794"/>
      </w:tabs>
      <w:ind w:left="600" w:hanging="200"/>
    </w:pPr>
  </w:style>
  <w:style w:type="paragraph" w:styleId="Trgymutat4">
    <w:name w:val="index 4"/>
    <w:basedOn w:val="Norml"/>
    <w:next w:val="Norml"/>
    <w:uiPriority w:val="99"/>
    <w:semiHidden/>
    <w:rsid w:val="003B5ED8"/>
    <w:pPr>
      <w:tabs>
        <w:tab w:val="right" w:leader="dot" w:pos="3794"/>
      </w:tabs>
      <w:ind w:left="800" w:hanging="200"/>
    </w:pPr>
  </w:style>
  <w:style w:type="paragraph" w:styleId="Trgymutat5">
    <w:name w:val="index 5"/>
    <w:basedOn w:val="Norml"/>
    <w:next w:val="Norml"/>
    <w:uiPriority w:val="99"/>
    <w:semiHidden/>
    <w:rsid w:val="003B5ED8"/>
    <w:pPr>
      <w:tabs>
        <w:tab w:val="right" w:leader="dot" w:pos="3794"/>
      </w:tabs>
      <w:ind w:left="1000" w:hanging="200"/>
    </w:pPr>
  </w:style>
  <w:style w:type="paragraph" w:styleId="Trgymutat6">
    <w:name w:val="index 6"/>
    <w:basedOn w:val="Norml"/>
    <w:next w:val="Norml"/>
    <w:uiPriority w:val="99"/>
    <w:semiHidden/>
    <w:rsid w:val="003B5ED8"/>
    <w:pPr>
      <w:tabs>
        <w:tab w:val="right" w:leader="dot" w:pos="3794"/>
      </w:tabs>
      <w:ind w:left="1200" w:hanging="200"/>
    </w:pPr>
  </w:style>
  <w:style w:type="paragraph" w:styleId="Trgymutat7">
    <w:name w:val="index 7"/>
    <w:basedOn w:val="Norml"/>
    <w:next w:val="Norml"/>
    <w:uiPriority w:val="99"/>
    <w:semiHidden/>
    <w:rsid w:val="003B5ED8"/>
    <w:pPr>
      <w:tabs>
        <w:tab w:val="right" w:leader="dot" w:pos="3794"/>
      </w:tabs>
      <w:ind w:left="1400" w:hanging="200"/>
    </w:pPr>
  </w:style>
  <w:style w:type="paragraph" w:styleId="Trgymutat8">
    <w:name w:val="index 8"/>
    <w:basedOn w:val="Norml"/>
    <w:next w:val="Norml"/>
    <w:uiPriority w:val="99"/>
    <w:semiHidden/>
    <w:rsid w:val="003B5ED8"/>
    <w:pPr>
      <w:tabs>
        <w:tab w:val="right" w:leader="dot" w:pos="3794"/>
      </w:tabs>
      <w:ind w:left="1600" w:hanging="200"/>
    </w:pPr>
  </w:style>
  <w:style w:type="paragraph" w:styleId="Trgymutat9">
    <w:name w:val="index 9"/>
    <w:basedOn w:val="Norml"/>
    <w:next w:val="Norml"/>
    <w:uiPriority w:val="99"/>
    <w:semiHidden/>
    <w:rsid w:val="003B5ED8"/>
    <w:pPr>
      <w:tabs>
        <w:tab w:val="right" w:leader="dot" w:pos="3794"/>
      </w:tabs>
      <w:ind w:left="1800" w:hanging="200"/>
    </w:pPr>
  </w:style>
  <w:style w:type="paragraph" w:styleId="Trgymutatcm">
    <w:name w:val="index heading"/>
    <w:basedOn w:val="Norml"/>
    <w:next w:val="Trgymutat1"/>
    <w:uiPriority w:val="99"/>
    <w:semiHidden/>
    <w:rsid w:val="003B5ED8"/>
  </w:style>
  <w:style w:type="paragraph" w:styleId="TJ1">
    <w:name w:val="toc 1"/>
    <w:basedOn w:val="Norml"/>
    <w:next w:val="Norml"/>
    <w:uiPriority w:val="39"/>
    <w:rsid w:val="00D9542A"/>
    <w:pPr>
      <w:spacing w:before="120"/>
      <w:jc w:val="left"/>
    </w:pPr>
    <w:rPr>
      <w:rFonts w:ascii="Times New Roman" w:hAnsi="Times New Roman"/>
      <w:b/>
      <w:bCs/>
      <w:caps/>
      <w:sz w:val="20"/>
      <w:szCs w:val="20"/>
    </w:rPr>
  </w:style>
  <w:style w:type="paragraph" w:styleId="TJ2">
    <w:name w:val="toc 2"/>
    <w:basedOn w:val="Norml"/>
    <w:next w:val="Norml"/>
    <w:uiPriority w:val="39"/>
    <w:rsid w:val="00E369B5"/>
    <w:pPr>
      <w:spacing w:after="0"/>
      <w:ind w:left="160"/>
      <w:jc w:val="left"/>
    </w:pPr>
    <w:rPr>
      <w:rFonts w:ascii="Times New Roman" w:hAnsi="Times New Roman"/>
      <w:smallCaps/>
      <w:sz w:val="20"/>
      <w:szCs w:val="20"/>
    </w:rPr>
  </w:style>
  <w:style w:type="paragraph" w:styleId="TJ3">
    <w:name w:val="toc 3"/>
    <w:basedOn w:val="Norml"/>
    <w:next w:val="Norml"/>
    <w:uiPriority w:val="39"/>
    <w:rsid w:val="003B5ED8"/>
    <w:pPr>
      <w:spacing w:after="0"/>
      <w:ind w:left="320"/>
      <w:jc w:val="left"/>
    </w:pPr>
    <w:rPr>
      <w:rFonts w:ascii="Times New Roman" w:hAnsi="Times New Roman"/>
      <w:i/>
      <w:iCs/>
      <w:sz w:val="20"/>
      <w:szCs w:val="20"/>
    </w:rPr>
  </w:style>
  <w:style w:type="paragraph" w:styleId="TJ4">
    <w:name w:val="toc 4"/>
    <w:basedOn w:val="Norml"/>
    <w:next w:val="Norml"/>
    <w:uiPriority w:val="39"/>
    <w:rsid w:val="003B5ED8"/>
    <w:pPr>
      <w:spacing w:after="0"/>
      <w:ind w:left="480"/>
      <w:jc w:val="left"/>
    </w:pPr>
    <w:rPr>
      <w:rFonts w:ascii="Times New Roman" w:hAnsi="Times New Roman"/>
      <w:sz w:val="18"/>
      <w:szCs w:val="18"/>
    </w:rPr>
  </w:style>
  <w:style w:type="paragraph" w:styleId="TJ5">
    <w:name w:val="toc 5"/>
    <w:basedOn w:val="Norml"/>
    <w:next w:val="Norml"/>
    <w:uiPriority w:val="39"/>
    <w:rsid w:val="003B5ED8"/>
    <w:pPr>
      <w:spacing w:after="0"/>
      <w:ind w:left="640"/>
      <w:jc w:val="left"/>
    </w:pPr>
    <w:rPr>
      <w:rFonts w:ascii="Times New Roman" w:hAnsi="Times New Roman"/>
      <w:sz w:val="18"/>
      <w:szCs w:val="18"/>
    </w:rPr>
  </w:style>
  <w:style w:type="paragraph" w:styleId="TJ6">
    <w:name w:val="toc 6"/>
    <w:basedOn w:val="Norml"/>
    <w:next w:val="Norml"/>
    <w:uiPriority w:val="39"/>
    <w:rsid w:val="003B5ED8"/>
    <w:pPr>
      <w:spacing w:after="0"/>
      <w:ind w:left="800"/>
      <w:jc w:val="left"/>
    </w:pPr>
    <w:rPr>
      <w:rFonts w:ascii="Times New Roman" w:hAnsi="Times New Roman"/>
      <w:sz w:val="18"/>
      <w:szCs w:val="18"/>
    </w:rPr>
  </w:style>
  <w:style w:type="paragraph" w:styleId="TJ7">
    <w:name w:val="toc 7"/>
    <w:basedOn w:val="Norml"/>
    <w:next w:val="Norml"/>
    <w:uiPriority w:val="39"/>
    <w:rsid w:val="003B5ED8"/>
    <w:pPr>
      <w:spacing w:after="0"/>
      <w:ind w:left="960"/>
      <w:jc w:val="left"/>
    </w:pPr>
    <w:rPr>
      <w:rFonts w:ascii="Times New Roman" w:hAnsi="Times New Roman"/>
      <w:sz w:val="18"/>
      <w:szCs w:val="18"/>
    </w:rPr>
  </w:style>
  <w:style w:type="paragraph" w:styleId="TJ8">
    <w:name w:val="toc 8"/>
    <w:basedOn w:val="Norml"/>
    <w:next w:val="Norml"/>
    <w:uiPriority w:val="39"/>
    <w:rsid w:val="003B5ED8"/>
    <w:pPr>
      <w:spacing w:after="0"/>
      <w:ind w:left="1120"/>
      <w:jc w:val="left"/>
    </w:pPr>
    <w:rPr>
      <w:rFonts w:ascii="Times New Roman" w:hAnsi="Times New Roman"/>
      <w:sz w:val="18"/>
      <w:szCs w:val="18"/>
    </w:rPr>
  </w:style>
  <w:style w:type="paragraph" w:styleId="TJ9">
    <w:name w:val="toc 9"/>
    <w:basedOn w:val="Norml"/>
    <w:next w:val="Norml"/>
    <w:uiPriority w:val="39"/>
    <w:rsid w:val="003B5ED8"/>
    <w:pPr>
      <w:spacing w:after="0"/>
      <w:ind w:left="1280"/>
      <w:jc w:val="left"/>
    </w:pPr>
    <w:rPr>
      <w:rFonts w:ascii="Times New Roman" w:hAnsi="Times New Roman"/>
      <w:sz w:val="18"/>
      <w:szCs w:val="18"/>
    </w:rPr>
  </w:style>
  <w:style w:type="paragraph" w:customStyle="1" w:styleId="u">
    <w:name w:val="u"/>
    <w:basedOn w:val="Norml"/>
    <w:uiPriority w:val="99"/>
    <w:rsid w:val="003B5ED8"/>
  </w:style>
  <w:style w:type="paragraph" w:styleId="lfej">
    <w:name w:val="header"/>
    <w:basedOn w:val="Norml"/>
    <w:link w:val="lfejChar"/>
    <w:uiPriority w:val="99"/>
    <w:rsid w:val="003B5ED8"/>
    <w:pPr>
      <w:tabs>
        <w:tab w:val="center" w:pos="4320"/>
        <w:tab w:val="right" w:pos="8640"/>
      </w:tabs>
    </w:pPr>
  </w:style>
  <w:style w:type="character" w:customStyle="1" w:styleId="lfejChar">
    <w:name w:val="Élőfej Char"/>
    <w:basedOn w:val="Bekezdsalapbettpusa"/>
    <w:link w:val="lfej"/>
    <w:uiPriority w:val="99"/>
    <w:locked/>
    <w:rsid w:val="002D723E"/>
    <w:rPr>
      <w:rFonts w:ascii="Verdana" w:hAnsi="Verdana" w:cs="Times New Roman"/>
      <w:sz w:val="16"/>
      <w:szCs w:val="16"/>
    </w:rPr>
  </w:style>
  <w:style w:type="character" w:styleId="Oldalszm">
    <w:name w:val="page number"/>
    <w:basedOn w:val="Bekezdsalapbettpusa"/>
    <w:uiPriority w:val="99"/>
    <w:rsid w:val="003B5ED8"/>
    <w:rPr>
      <w:rFonts w:cs="Times New Roman"/>
    </w:rPr>
  </w:style>
  <w:style w:type="paragraph" w:styleId="llb">
    <w:name w:val="footer"/>
    <w:basedOn w:val="Norml"/>
    <w:link w:val="llbChar"/>
    <w:uiPriority w:val="99"/>
    <w:rsid w:val="003B5ED8"/>
    <w:pPr>
      <w:tabs>
        <w:tab w:val="center" w:pos="4320"/>
        <w:tab w:val="right" w:pos="8640"/>
      </w:tabs>
    </w:pPr>
  </w:style>
  <w:style w:type="character" w:customStyle="1" w:styleId="llbChar">
    <w:name w:val="Élőláb Char"/>
    <w:basedOn w:val="Bekezdsalapbettpusa"/>
    <w:link w:val="llb"/>
    <w:uiPriority w:val="99"/>
    <w:locked/>
    <w:rsid w:val="001474F5"/>
    <w:rPr>
      <w:rFonts w:ascii="Verdana" w:hAnsi="Verdana" w:cs="Times New Roman"/>
      <w:sz w:val="16"/>
      <w:szCs w:val="16"/>
    </w:rPr>
  </w:style>
  <w:style w:type="paragraph" w:styleId="Szvegtrzsbehzssal">
    <w:name w:val="Body Text Indent"/>
    <w:basedOn w:val="Norml"/>
    <w:link w:val="SzvegtrzsbehzssalChar"/>
    <w:uiPriority w:val="99"/>
    <w:rsid w:val="003B5ED8"/>
    <w:pPr>
      <w:keepLines w:val="0"/>
      <w:spacing w:after="0"/>
    </w:pPr>
    <w:rPr>
      <w:rFonts w:ascii="Times New Roman" w:hAnsi="Times New Roman"/>
    </w:rPr>
  </w:style>
  <w:style w:type="character" w:customStyle="1" w:styleId="SzvegtrzsbehzssalChar">
    <w:name w:val="Szövegtörzs behúzással Char"/>
    <w:basedOn w:val="Bekezdsalapbettpusa"/>
    <w:link w:val="Szvegtrzsbehzssal"/>
    <w:uiPriority w:val="99"/>
    <w:semiHidden/>
    <w:locked/>
    <w:rsid w:val="00DE4976"/>
    <w:rPr>
      <w:rFonts w:ascii="Verdana" w:hAnsi="Verdana" w:cs="Times New Roman"/>
      <w:sz w:val="16"/>
      <w:szCs w:val="16"/>
    </w:rPr>
  </w:style>
  <w:style w:type="paragraph" w:styleId="Szvegtrzs3">
    <w:name w:val="Body Text 3"/>
    <w:basedOn w:val="Norml"/>
    <w:link w:val="Szvegtrzs3Char"/>
    <w:uiPriority w:val="99"/>
    <w:rsid w:val="003B5ED8"/>
    <w:rPr>
      <w:rFonts w:ascii="H_Orig Garamond BT" w:hAnsi="H_Orig Garamond BT"/>
      <w:color w:val="FF0000"/>
    </w:rPr>
  </w:style>
  <w:style w:type="character" w:customStyle="1" w:styleId="Szvegtrzs3Char">
    <w:name w:val="Szövegtörzs 3 Char"/>
    <w:basedOn w:val="Bekezdsalapbettpusa"/>
    <w:link w:val="Szvegtrzs3"/>
    <w:uiPriority w:val="99"/>
    <w:semiHidden/>
    <w:locked/>
    <w:rsid w:val="00DE4976"/>
    <w:rPr>
      <w:rFonts w:ascii="Verdana" w:hAnsi="Verdana" w:cs="Times New Roman"/>
      <w:sz w:val="16"/>
      <w:szCs w:val="16"/>
    </w:rPr>
  </w:style>
  <w:style w:type="paragraph" w:styleId="Szvegtrzs">
    <w:name w:val="Body Text"/>
    <w:basedOn w:val="Norml"/>
    <w:link w:val="SzvegtrzsChar"/>
    <w:uiPriority w:val="99"/>
    <w:rsid w:val="003B5ED8"/>
    <w:rPr>
      <w:rFonts w:ascii="H_Orig Garamond BT" w:hAnsi="H_Orig Garamond BT"/>
      <w:sz w:val="24"/>
    </w:rPr>
  </w:style>
  <w:style w:type="character" w:customStyle="1" w:styleId="SzvegtrzsChar">
    <w:name w:val="Szövegtörzs Char"/>
    <w:basedOn w:val="Bekezdsalapbettpusa"/>
    <w:link w:val="Szvegtrzs"/>
    <w:uiPriority w:val="99"/>
    <w:semiHidden/>
    <w:locked/>
    <w:rsid w:val="00DE4976"/>
    <w:rPr>
      <w:rFonts w:ascii="Verdana" w:hAnsi="Verdana" w:cs="Times New Roman"/>
      <w:sz w:val="16"/>
      <w:szCs w:val="16"/>
    </w:rPr>
  </w:style>
  <w:style w:type="paragraph" w:customStyle="1" w:styleId="BodyText21">
    <w:name w:val="Body Text 21"/>
    <w:basedOn w:val="Norml"/>
    <w:uiPriority w:val="99"/>
    <w:rsid w:val="003B5ED8"/>
    <w:pPr>
      <w:keepLines w:val="0"/>
      <w:tabs>
        <w:tab w:val="left" w:pos="0"/>
        <w:tab w:val="right" w:pos="8953"/>
      </w:tabs>
      <w:spacing w:before="48" w:after="0" w:line="360" w:lineRule="atLeast"/>
    </w:pPr>
    <w:rPr>
      <w:rFonts w:ascii="Times New Roman" w:hAnsi="Times New Roman"/>
      <w:sz w:val="24"/>
      <w:lang w:eastAsia="en-US"/>
    </w:rPr>
  </w:style>
  <w:style w:type="paragraph" w:styleId="Szvegtrzs2">
    <w:name w:val="Body Text 2"/>
    <w:basedOn w:val="Norml"/>
    <w:link w:val="Szvegtrzs2Char"/>
    <w:uiPriority w:val="99"/>
    <w:rsid w:val="003B5ED8"/>
    <w:rPr>
      <w:rFonts w:ascii="H_Orig Garamond BT" w:hAnsi="H_Orig Garamond BT"/>
      <w:u w:val="single"/>
    </w:rPr>
  </w:style>
  <w:style w:type="character" w:customStyle="1" w:styleId="Szvegtrzs2Char">
    <w:name w:val="Szövegtörzs 2 Char"/>
    <w:basedOn w:val="Bekezdsalapbettpusa"/>
    <w:link w:val="Szvegtrzs2"/>
    <w:uiPriority w:val="99"/>
    <w:semiHidden/>
    <w:locked/>
    <w:rsid w:val="00DE4976"/>
    <w:rPr>
      <w:rFonts w:ascii="Verdana" w:hAnsi="Verdana" w:cs="Times New Roman"/>
      <w:sz w:val="16"/>
      <w:szCs w:val="16"/>
    </w:rPr>
  </w:style>
  <w:style w:type="paragraph" w:styleId="Szvegtrzsbehzssal2">
    <w:name w:val="Body Text Indent 2"/>
    <w:basedOn w:val="Norml"/>
    <w:link w:val="Szvegtrzsbehzssal2Char"/>
    <w:uiPriority w:val="99"/>
    <w:rsid w:val="003B5ED8"/>
    <w:pPr>
      <w:keepLines w:val="0"/>
      <w:numPr>
        <w:ilvl w:val="12"/>
      </w:numPr>
      <w:ind w:firstLine="720"/>
    </w:pPr>
    <w:rPr>
      <w:rFonts w:ascii="H_Orig Garamond BT" w:hAnsi="H_Orig Garamond BT"/>
    </w:rPr>
  </w:style>
  <w:style w:type="character" w:customStyle="1" w:styleId="Szvegtrzsbehzssal2Char">
    <w:name w:val="Szövegtörzs behúzással 2 Char"/>
    <w:basedOn w:val="Bekezdsalapbettpusa"/>
    <w:link w:val="Szvegtrzsbehzssal2"/>
    <w:uiPriority w:val="99"/>
    <w:semiHidden/>
    <w:locked/>
    <w:rsid w:val="00DE4976"/>
    <w:rPr>
      <w:rFonts w:ascii="Verdana" w:hAnsi="Verdana" w:cs="Times New Roman"/>
      <w:sz w:val="16"/>
      <w:szCs w:val="16"/>
    </w:rPr>
  </w:style>
  <w:style w:type="paragraph" w:styleId="Szvegtrzsbehzssal3">
    <w:name w:val="Body Text Indent 3"/>
    <w:basedOn w:val="Norml"/>
    <w:link w:val="Szvegtrzsbehzssal3Char"/>
    <w:uiPriority w:val="99"/>
    <w:rsid w:val="003B5ED8"/>
    <w:pPr>
      <w:keepLines w:val="0"/>
      <w:spacing w:before="120" w:after="0"/>
      <w:ind w:left="567"/>
    </w:pPr>
    <w:rPr>
      <w:rFonts w:ascii="Times New Roman" w:hAnsi="Times New Roman"/>
      <w:color w:val="FF0000"/>
    </w:rPr>
  </w:style>
  <w:style w:type="character" w:customStyle="1" w:styleId="Szvegtrzsbehzssal3Char">
    <w:name w:val="Szövegtörzs behúzással 3 Char"/>
    <w:basedOn w:val="Bekezdsalapbettpusa"/>
    <w:link w:val="Szvegtrzsbehzssal3"/>
    <w:uiPriority w:val="99"/>
    <w:semiHidden/>
    <w:locked/>
    <w:rsid w:val="00DE4976"/>
    <w:rPr>
      <w:rFonts w:ascii="Verdana" w:hAnsi="Verdana" w:cs="Times New Roman"/>
      <w:sz w:val="16"/>
      <w:szCs w:val="16"/>
    </w:rPr>
  </w:style>
  <w:style w:type="paragraph" w:customStyle="1" w:styleId="Normal0">
    <w:name w:val="Normal0"/>
    <w:basedOn w:val="Norml"/>
    <w:autoRedefine/>
    <w:uiPriority w:val="99"/>
    <w:rsid w:val="003B5ED8"/>
    <w:pPr>
      <w:keepLines w:val="0"/>
      <w:tabs>
        <w:tab w:val="num" w:pos="2520"/>
      </w:tabs>
      <w:spacing w:before="120" w:after="0"/>
    </w:pPr>
    <w:rPr>
      <w:rFonts w:ascii="H_Orig Garamond BT" w:hAnsi="H_Orig Garamond BT"/>
      <w:spacing w:val="6"/>
      <w:lang w:eastAsia="en-US"/>
    </w:rPr>
  </w:style>
  <w:style w:type="paragraph" w:styleId="Lista2">
    <w:name w:val="List 2"/>
    <w:basedOn w:val="Norml"/>
    <w:uiPriority w:val="99"/>
    <w:rsid w:val="003B5ED8"/>
    <w:pPr>
      <w:keepLines w:val="0"/>
      <w:spacing w:after="0"/>
      <w:ind w:left="566" w:hanging="283"/>
      <w:jc w:val="left"/>
    </w:pPr>
    <w:rPr>
      <w:rFonts w:ascii="Times New Roman" w:hAnsi="Times New Roman"/>
    </w:rPr>
  </w:style>
  <w:style w:type="paragraph" w:customStyle="1" w:styleId="Cimfej">
    <w:name w:val="Cimfej"/>
    <w:basedOn w:val="Norml"/>
    <w:next w:val="Norml"/>
    <w:uiPriority w:val="99"/>
    <w:rsid w:val="003B5ED8"/>
    <w:pPr>
      <w:keepLines w:val="0"/>
      <w:spacing w:after="0"/>
      <w:jc w:val="left"/>
    </w:pPr>
    <w:rPr>
      <w:rFonts w:ascii="Arial" w:hAnsi="Arial"/>
      <w:sz w:val="24"/>
      <w:lang w:val="da-DK"/>
    </w:rPr>
  </w:style>
  <w:style w:type="paragraph" w:customStyle="1" w:styleId="Tblzat">
    <w:name w:val="Táblázat"/>
    <w:basedOn w:val="Norml"/>
    <w:next w:val="Norml"/>
    <w:uiPriority w:val="99"/>
    <w:rsid w:val="003B5ED8"/>
    <w:pPr>
      <w:keepNext/>
      <w:keepLines w:val="0"/>
      <w:widowControl w:val="0"/>
      <w:spacing w:after="0"/>
    </w:pPr>
    <w:rPr>
      <w:rFonts w:ascii="H_Orig Garamond BT" w:hAnsi="H_Orig Garamond BT"/>
      <w:color w:val="000000"/>
    </w:rPr>
  </w:style>
  <w:style w:type="paragraph" w:customStyle="1" w:styleId="2cm">
    <w:name w:val="2. cím"/>
    <w:basedOn w:val="1cm"/>
    <w:uiPriority w:val="99"/>
    <w:rsid w:val="003B5ED8"/>
    <w:pPr>
      <w:numPr>
        <w:numId w:val="4"/>
      </w:numPr>
    </w:pPr>
    <w:rPr>
      <w:sz w:val="24"/>
    </w:rPr>
  </w:style>
  <w:style w:type="paragraph" w:customStyle="1" w:styleId="1cm">
    <w:name w:val="1. cím"/>
    <w:basedOn w:val="Norml"/>
    <w:uiPriority w:val="99"/>
    <w:rsid w:val="003B5ED8"/>
    <w:pPr>
      <w:keepNext/>
      <w:keepLines w:val="0"/>
      <w:widowControl w:val="0"/>
      <w:spacing w:before="300" w:after="240"/>
      <w:jc w:val="center"/>
    </w:pPr>
    <w:rPr>
      <w:rFonts w:ascii="H_Orig Garamond BT" w:hAnsi="H_Orig Garamond BT"/>
      <w:b/>
      <w:sz w:val="28"/>
    </w:rPr>
  </w:style>
  <w:style w:type="character" w:styleId="Hiperhivatkozs">
    <w:name w:val="Hyperlink"/>
    <w:basedOn w:val="Bekezdsalapbettpusa"/>
    <w:uiPriority w:val="99"/>
    <w:rsid w:val="003B5ED8"/>
    <w:rPr>
      <w:rFonts w:cs="Times New Roman"/>
      <w:color w:val="0000FF"/>
      <w:u w:val="single"/>
    </w:rPr>
  </w:style>
  <w:style w:type="paragraph" w:customStyle="1" w:styleId="kettes">
    <w:name w:val="kettes"/>
    <w:basedOn w:val="TJ2"/>
    <w:uiPriority w:val="99"/>
    <w:rsid w:val="003B5ED8"/>
    <w:pPr>
      <w:keepLines w:val="0"/>
      <w:tabs>
        <w:tab w:val="right" w:leader="dot" w:pos="8313"/>
      </w:tabs>
      <w:ind w:left="0"/>
    </w:pPr>
    <w:rPr>
      <w:rFonts w:ascii="H-Arial" w:hAnsi="H-Arial"/>
      <w:b/>
      <w:sz w:val="24"/>
      <w:lang w:val="en-GB"/>
    </w:rPr>
  </w:style>
  <w:style w:type="paragraph" w:customStyle="1" w:styleId="Normal2">
    <w:name w:val="Normal2"/>
    <w:basedOn w:val="Norml"/>
    <w:uiPriority w:val="99"/>
    <w:rsid w:val="003B5ED8"/>
    <w:pPr>
      <w:keepLines w:val="0"/>
      <w:numPr>
        <w:numId w:val="2"/>
      </w:numPr>
      <w:spacing w:before="120" w:after="0"/>
    </w:pPr>
    <w:rPr>
      <w:rFonts w:ascii="H_Orig Garamond BT" w:hAnsi="H_Orig Garamond BT"/>
      <w:spacing w:val="6"/>
    </w:rPr>
  </w:style>
  <w:style w:type="paragraph" w:customStyle="1" w:styleId="Normal2b">
    <w:name w:val="Normal2b"/>
    <w:basedOn w:val="Norml"/>
    <w:uiPriority w:val="99"/>
    <w:rsid w:val="003B5ED8"/>
    <w:pPr>
      <w:keepLines w:val="0"/>
      <w:numPr>
        <w:numId w:val="3"/>
      </w:numPr>
      <w:tabs>
        <w:tab w:val="clear" w:pos="360"/>
        <w:tab w:val="num" w:pos="720"/>
      </w:tabs>
      <w:spacing w:after="0"/>
      <w:ind w:left="720"/>
    </w:pPr>
    <w:rPr>
      <w:rFonts w:ascii="H_Orig Garamond BT" w:hAnsi="H_Orig Garamond BT"/>
      <w:spacing w:val="6"/>
    </w:rPr>
  </w:style>
  <w:style w:type="paragraph" w:customStyle="1" w:styleId="alap0">
    <w:name w:val="alap 0"/>
    <w:basedOn w:val="Cmsor1"/>
    <w:uiPriority w:val="99"/>
    <w:rsid w:val="003B5ED8"/>
    <w:pPr>
      <w:spacing w:before="360" w:after="240"/>
    </w:pPr>
  </w:style>
  <w:style w:type="paragraph" w:customStyle="1" w:styleId="alap1">
    <w:name w:val="alap 1"/>
    <w:basedOn w:val="Cmsor2"/>
    <w:uiPriority w:val="99"/>
    <w:rsid w:val="003B5ED8"/>
    <w:pPr>
      <w:spacing w:before="180" w:after="180"/>
      <w:ind w:left="567"/>
      <w:jc w:val="left"/>
    </w:pPr>
    <w:rPr>
      <w:rFonts w:ascii="H_Orig Garamond BT" w:hAnsi="H_Orig Garamond BT"/>
    </w:rPr>
  </w:style>
  <w:style w:type="paragraph" w:customStyle="1" w:styleId="alap2">
    <w:name w:val="alap 2"/>
    <w:basedOn w:val="alap1"/>
    <w:uiPriority w:val="99"/>
    <w:rsid w:val="003B5ED8"/>
    <w:pPr>
      <w:spacing w:before="120" w:after="120"/>
      <w:ind w:left="454"/>
    </w:pPr>
    <w:rPr>
      <w:b w:val="0"/>
      <w:i/>
    </w:rPr>
  </w:style>
  <w:style w:type="paragraph" w:customStyle="1" w:styleId="Normal2a">
    <w:name w:val="Normal2a"/>
    <w:basedOn w:val="Normal2"/>
    <w:uiPriority w:val="99"/>
    <w:rsid w:val="003B5ED8"/>
    <w:pPr>
      <w:numPr>
        <w:numId w:val="0"/>
      </w:numPr>
      <w:tabs>
        <w:tab w:val="num" w:pos="360"/>
      </w:tabs>
      <w:spacing w:before="0"/>
      <w:ind w:left="360" w:hanging="360"/>
    </w:pPr>
  </w:style>
  <w:style w:type="paragraph" w:customStyle="1" w:styleId="alap3">
    <w:name w:val="alap 3"/>
    <w:basedOn w:val="Norml"/>
    <w:autoRedefine/>
    <w:uiPriority w:val="99"/>
    <w:rsid w:val="00464582"/>
    <w:pPr>
      <w:spacing w:before="120"/>
    </w:pPr>
    <w:rPr>
      <w:rFonts w:cs="Arial"/>
      <w:sz w:val="18"/>
      <w:szCs w:val="18"/>
    </w:rPr>
  </w:style>
  <w:style w:type="paragraph" w:customStyle="1" w:styleId="a">
    <w:name w:val="û"/>
    <w:basedOn w:val="Norml"/>
    <w:uiPriority w:val="99"/>
    <w:rsid w:val="003B5ED8"/>
    <w:rPr>
      <w:rFonts w:ascii="HToronto" w:hAnsi="HToronto"/>
      <w:lang w:eastAsia="en-US"/>
    </w:rPr>
  </w:style>
  <w:style w:type="paragraph" w:styleId="Szvegblokk">
    <w:name w:val="Block Text"/>
    <w:basedOn w:val="Norml"/>
    <w:uiPriority w:val="99"/>
    <w:rsid w:val="003B5ED8"/>
    <w:pPr>
      <w:keepLines w:val="0"/>
      <w:numPr>
        <w:ilvl w:val="12"/>
      </w:numPr>
      <w:ind w:left="720" w:right="15"/>
    </w:pPr>
    <w:rPr>
      <w:i/>
      <w:iCs/>
    </w:rPr>
  </w:style>
  <w:style w:type="paragraph" w:styleId="NormlWeb">
    <w:name w:val="Normal (Web)"/>
    <w:basedOn w:val="Norml"/>
    <w:link w:val="NormlWebChar"/>
    <w:uiPriority w:val="99"/>
    <w:rsid w:val="003B5ED8"/>
    <w:pPr>
      <w:keepLines w:val="0"/>
      <w:spacing w:before="100" w:beforeAutospacing="1" w:after="100" w:afterAutospacing="1"/>
      <w:jc w:val="left"/>
    </w:pPr>
    <w:rPr>
      <w:rFonts w:ascii="H_Orig Garamond BT" w:hAnsi="H_Orig Garamond BT"/>
      <w:b/>
      <w:caps/>
      <w:kern w:val="28"/>
      <w:sz w:val="24"/>
      <w:szCs w:val="20"/>
    </w:rPr>
  </w:style>
  <w:style w:type="character" w:styleId="Mrltotthiperhivatkozs">
    <w:name w:val="FollowedHyperlink"/>
    <w:basedOn w:val="Bekezdsalapbettpusa"/>
    <w:uiPriority w:val="99"/>
    <w:rsid w:val="003B5ED8"/>
    <w:rPr>
      <w:rFonts w:cs="Times New Roman"/>
      <w:color w:val="800080"/>
      <w:u w:val="single"/>
    </w:rPr>
  </w:style>
  <w:style w:type="paragraph" w:styleId="Buborkszveg">
    <w:name w:val="Balloon Text"/>
    <w:basedOn w:val="Norml"/>
    <w:link w:val="BuborkszvegChar"/>
    <w:uiPriority w:val="99"/>
    <w:semiHidden/>
    <w:rsid w:val="00E751AF"/>
    <w:rPr>
      <w:rFonts w:ascii="Tahoma" w:hAnsi="Tahoma" w:cs="Tahoma"/>
    </w:rPr>
  </w:style>
  <w:style w:type="character" w:customStyle="1" w:styleId="BuborkszvegChar">
    <w:name w:val="Buborékszöveg Char"/>
    <w:basedOn w:val="Bekezdsalapbettpusa"/>
    <w:link w:val="Buborkszveg"/>
    <w:uiPriority w:val="99"/>
    <w:semiHidden/>
    <w:locked/>
    <w:rsid w:val="00DE4976"/>
    <w:rPr>
      <w:rFonts w:cs="Times New Roman"/>
      <w:sz w:val="2"/>
    </w:rPr>
  </w:style>
  <w:style w:type="paragraph" w:customStyle="1" w:styleId="fogalmak">
    <w:name w:val="fogalmak"/>
    <w:basedOn w:val="Norml"/>
    <w:uiPriority w:val="99"/>
    <w:rsid w:val="005C1EB6"/>
    <w:pPr>
      <w:keepLines w:val="0"/>
      <w:spacing w:after="0"/>
      <w:ind w:left="2835" w:hanging="2835"/>
    </w:pPr>
    <w:rPr>
      <w:rFonts w:ascii="H-Arial" w:hAnsi="H-Arial"/>
      <w:sz w:val="24"/>
      <w:lang w:val="en-GB"/>
    </w:rPr>
  </w:style>
  <w:style w:type="table" w:styleId="Rcsostblzat">
    <w:name w:val="Table Grid"/>
    <w:basedOn w:val="Normltblzat"/>
    <w:uiPriority w:val="99"/>
    <w:rsid w:val="00E968CE"/>
    <w:pPr>
      <w:keepLines/>
      <w:spacing w:after="120"/>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corde1">
    <w:name w:val="Concorde 1"/>
    <w:next w:val="Norml"/>
    <w:link w:val="Concorde1Char"/>
    <w:autoRedefine/>
    <w:uiPriority w:val="99"/>
    <w:rsid w:val="006C3426"/>
    <w:pPr>
      <w:spacing w:before="240" w:after="480"/>
      <w:jc w:val="center"/>
    </w:pPr>
    <w:rPr>
      <w:rFonts w:ascii="Verdana" w:hAnsi="Verdana"/>
      <w:b/>
      <w:smallCaps/>
    </w:rPr>
  </w:style>
  <w:style w:type="character" w:customStyle="1" w:styleId="Concorde1Char">
    <w:name w:val="Concorde 1 Char"/>
    <w:link w:val="Concorde1"/>
    <w:uiPriority w:val="99"/>
    <w:locked/>
    <w:rsid w:val="006C3426"/>
    <w:rPr>
      <w:rFonts w:ascii="Verdana" w:hAnsi="Verdana"/>
      <w:b/>
      <w:smallCaps/>
      <w:sz w:val="22"/>
      <w:lang w:val="hu-HU" w:eastAsia="hu-HU"/>
    </w:rPr>
  </w:style>
  <w:style w:type="paragraph" w:customStyle="1" w:styleId="Concorde2">
    <w:name w:val="Concorde 2"/>
    <w:next w:val="Norml"/>
    <w:link w:val="Concorde2Char"/>
    <w:autoRedefine/>
    <w:uiPriority w:val="99"/>
    <w:rsid w:val="008037A5"/>
    <w:pPr>
      <w:spacing w:before="240" w:after="240"/>
      <w:jc w:val="center"/>
    </w:pPr>
    <w:rPr>
      <w:rFonts w:ascii="Verdana" w:hAnsi="Verdana"/>
      <w:b/>
      <w:smallCaps/>
    </w:rPr>
  </w:style>
  <w:style w:type="paragraph" w:customStyle="1" w:styleId="StlusNormal2bVerdanaBal0cmElssor0cmUtna3pt">
    <w:name w:val="Stílus Normal2b + Verdana Bal:  0 cm Első sor:  0 cm Utána:  3 pt"/>
    <w:basedOn w:val="Normal2b"/>
    <w:uiPriority w:val="99"/>
    <w:rsid w:val="00C81684"/>
    <w:pPr>
      <w:spacing w:after="60"/>
      <w:ind w:left="0" w:firstLine="0"/>
    </w:pPr>
    <w:rPr>
      <w:rFonts w:ascii="Verdana" w:hAnsi="Verdana"/>
      <w:bCs/>
      <w:spacing w:val="0"/>
      <w:szCs w:val="20"/>
    </w:rPr>
  </w:style>
  <w:style w:type="paragraph" w:customStyle="1" w:styleId="Concorde0">
    <w:name w:val="Concorde 0"/>
    <w:next w:val="Norml"/>
    <w:autoRedefine/>
    <w:uiPriority w:val="99"/>
    <w:rsid w:val="008037A5"/>
    <w:pPr>
      <w:spacing w:before="240" w:after="480"/>
      <w:jc w:val="center"/>
    </w:pPr>
    <w:rPr>
      <w:rFonts w:ascii="Verdana" w:hAnsi="Verdana"/>
      <w:b/>
      <w:bCs/>
      <w:caps/>
      <w:sz w:val="32"/>
      <w:szCs w:val="32"/>
    </w:rPr>
  </w:style>
  <w:style w:type="paragraph" w:customStyle="1" w:styleId="Concorde5">
    <w:name w:val="Concorde 5"/>
    <w:basedOn w:val="Norml"/>
    <w:next w:val="Norml"/>
    <w:link w:val="Concorde5Char"/>
    <w:autoRedefine/>
    <w:uiPriority w:val="99"/>
    <w:rsid w:val="002F4C30"/>
    <w:rPr>
      <w:b/>
      <w:i/>
      <w:sz w:val="20"/>
      <w:szCs w:val="20"/>
    </w:rPr>
  </w:style>
  <w:style w:type="character" w:customStyle="1" w:styleId="NormlWebChar">
    <w:name w:val="Normál (Web) Char"/>
    <w:link w:val="NormlWeb"/>
    <w:uiPriority w:val="99"/>
    <w:locked/>
    <w:rsid w:val="00E040C0"/>
    <w:rPr>
      <w:rFonts w:ascii="H_Orig Garamond BT" w:hAnsi="H_Orig Garamond BT"/>
      <w:b/>
      <w:caps/>
      <w:kern w:val="28"/>
      <w:sz w:val="24"/>
      <w:lang w:val="hu-HU" w:eastAsia="hu-HU"/>
    </w:rPr>
  </w:style>
  <w:style w:type="character" w:styleId="Jegyzethivatkozs">
    <w:name w:val="annotation reference"/>
    <w:basedOn w:val="Bekezdsalapbettpusa"/>
    <w:uiPriority w:val="99"/>
    <w:semiHidden/>
    <w:rsid w:val="008E509F"/>
    <w:rPr>
      <w:rFonts w:cs="Times New Roman"/>
      <w:sz w:val="16"/>
    </w:rPr>
  </w:style>
  <w:style w:type="paragraph" w:styleId="Jegyzetszveg">
    <w:name w:val="annotation text"/>
    <w:basedOn w:val="Norml"/>
    <w:link w:val="JegyzetszvegChar"/>
    <w:uiPriority w:val="99"/>
    <w:semiHidden/>
    <w:rsid w:val="008E509F"/>
    <w:rPr>
      <w:sz w:val="20"/>
      <w:szCs w:val="20"/>
    </w:rPr>
  </w:style>
  <w:style w:type="character" w:customStyle="1" w:styleId="JegyzetszvegChar">
    <w:name w:val="Jegyzetszöveg Char"/>
    <w:basedOn w:val="Bekezdsalapbettpusa"/>
    <w:link w:val="Jegyzetszveg"/>
    <w:uiPriority w:val="99"/>
    <w:semiHidden/>
    <w:locked/>
    <w:rsid w:val="00DE4976"/>
    <w:rPr>
      <w:rFonts w:ascii="Verdana" w:hAnsi="Verdana" w:cs="Times New Roman"/>
      <w:sz w:val="20"/>
      <w:szCs w:val="20"/>
    </w:rPr>
  </w:style>
  <w:style w:type="paragraph" w:styleId="Megjegyzstrgya">
    <w:name w:val="annotation subject"/>
    <w:basedOn w:val="Jegyzetszveg"/>
    <w:next w:val="Jegyzetszveg"/>
    <w:link w:val="MegjegyzstrgyaChar"/>
    <w:uiPriority w:val="99"/>
    <w:semiHidden/>
    <w:rsid w:val="008E509F"/>
    <w:rPr>
      <w:b/>
      <w:bCs/>
    </w:rPr>
  </w:style>
  <w:style w:type="character" w:customStyle="1" w:styleId="MegjegyzstrgyaChar">
    <w:name w:val="Megjegyzés tárgya Char"/>
    <w:basedOn w:val="JegyzetszvegChar"/>
    <w:link w:val="Megjegyzstrgya"/>
    <w:uiPriority w:val="99"/>
    <w:semiHidden/>
    <w:locked/>
    <w:rsid w:val="00DE4976"/>
    <w:rPr>
      <w:rFonts w:ascii="Verdana" w:hAnsi="Verdana" w:cs="Times New Roman"/>
      <w:b/>
      <w:bCs/>
      <w:sz w:val="20"/>
      <w:szCs w:val="20"/>
    </w:rPr>
  </w:style>
  <w:style w:type="character" w:customStyle="1" w:styleId="Concorde5Char">
    <w:name w:val="Concorde 5 Char"/>
    <w:link w:val="Concorde5"/>
    <w:uiPriority w:val="99"/>
    <w:locked/>
    <w:rsid w:val="002F149F"/>
    <w:rPr>
      <w:rFonts w:ascii="Verdana" w:hAnsi="Verdana"/>
      <w:b/>
      <w:i/>
      <w:lang w:val="hu-HU" w:eastAsia="hu-HU"/>
    </w:rPr>
  </w:style>
  <w:style w:type="character" w:customStyle="1" w:styleId="Concorde2Char">
    <w:name w:val="Concorde 2 Char"/>
    <w:link w:val="Concorde2"/>
    <w:uiPriority w:val="99"/>
    <w:locked/>
    <w:rsid w:val="00C54FE9"/>
    <w:rPr>
      <w:rFonts w:ascii="Verdana" w:hAnsi="Verdana"/>
      <w:b/>
      <w:smallCaps/>
      <w:sz w:val="22"/>
      <w:lang w:val="hu-HU" w:eastAsia="hu-HU"/>
    </w:rPr>
  </w:style>
  <w:style w:type="character" w:styleId="Helyrzszveg">
    <w:name w:val="Placeholder Text"/>
    <w:basedOn w:val="Bekezdsalapbettpusa"/>
    <w:uiPriority w:val="99"/>
    <w:semiHidden/>
    <w:rsid w:val="00A644C2"/>
    <w:rPr>
      <w:rFonts w:cs="Times New Roman"/>
      <w:color w:val="808080"/>
    </w:rPr>
  </w:style>
  <w:style w:type="paragraph" w:styleId="Listaszerbekezds">
    <w:name w:val="List Paragraph"/>
    <w:basedOn w:val="Norml"/>
    <w:uiPriority w:val="34"/>
    <w:qFormat/>
    <w:rsid w:val="00347527"/>
    <w:pPr>
      <w:ind w:left="720"/>
      <w:contextualSpacing/>
    </w:pPr>
  </w:style>
  <w:style w:type="paragraph" w:styleId="Tartalomjegyzkcmsora">
    <w:name w:val="TOC Heading"/>
    <w:basedOn w:val="Cmsor1"/>
    <w:next w:val="Norml"/>
    <w:uiPriority w:val="99"/>
    <w:qFormat/>
    <w:rsid w:val="005C24ED"/>
    <w:pPr>
      <w:spacing w:before="480" w:after="0" w:line="276" w:lineRule="auto"/>
      <w:jc w:val="left"/>
      <w:outlineLvl w:val="9"/>
    </w:pPr>
    <w:rPr>
      <w:rFonts w:ascii="Cambria" w:hAnsi="Cambria"/>
      <w:bCs/>
      <w:caps w:val="0"/>
      <w:color w:val="365F91"/>
      <w:kern w:val="0"/>
      <w:sz w:val="28"/>
      <w:szCs w:val="28"/>
    </w:rPr>
  </w:style>
  <w:style w:type="paragraph" w:customStyle="1" w:styleId="Default">
    <w:name w:val="Default"/>
    <w:uiPriority w:val="99"/>
    <w:rsid w:val="007911AF"/>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l">
    <w:name w:val="Normal"/>
    <w:autoRedefine/>
    <w:qFormat/>
    <w:rsid w:val="001A4B63"/>
    <w:pPr>
      <w:keepLines/>
      <w:spacing w:after="120"/>
      <w:jc w:val="both"/>
    </w:pPr>
    <w:rPr>
      <w:rFonts w:ascii="Verdana" w:hAnsi="Verdana"/>
      <w:sz w:val="16"/>
      <w:szCs w:val="16"/>
    </w:rPr>
  </w:style>
  <w:style w:type="paragraph" w:styleId="Cmsor1">
    <w:name w:val="heading 1"/>
    <w:basedOn w:val="Norml"/>
    <w:next w:val="Norml"/>
    <w:link w:val="Cmsor1Char"/>
    <w:qFormat/>
    <w:rsid w:val="003B5ED8"/>
    <w:pPr>
      <w:keepNext/>
      <w:spacing w:before="240" w:after="480"/>
      <w:jc w:val="center"/>
      <w:outlineLvl w:val="0"/>
    </w:pPr>
    <w:rPr>
      <w:rFonts w:ascii="H_Orig Garamond BT" w:hAnsi="H_Orig Garamond BT"/>
      <w:b/>
      <w:caps/>
      <w:kern w:val="28"/>
      <w:sz w:val="24"/>
      <w:szCs w:val="20"/>
    </w:rPr>
  </w:style>
  <w:style w:type="paragraph" w:styleId="Cmsor2">
    <w:name w:val="heading 2"/>
    <w:basedOn w:val="Norml"/>
    <w:next w:val="Norml"/>
    <w:link w:val="Cmsor2Char"/>
    <w:qFormat/>
    <w:rsid w:val="003B5ED8"/>
    <w:pPr>
      <w:keepNext/>
      <w:spacing w:before="240" w:after="60"/>
      <w:outlineLvl w:val="1"/>
    </w:pPr>
    <w:rPr>
      <w:b/>
    </w:rPr>
  </w:style>
  <w:style w:type="paragraph" w:styleId="Cmsor3">
    <w:name w:val="heading 3"/>
    <w:basedOn w:val="Norml"/>
    <w:next w:val="Norml"/>
    <w:link w:val="Cmsor3Char"/>
    <w:uiPriority w:val="99"/>
    <w:qFormat/>
    <w:rsid w:val="003B5ED8"/>
    <w:pPr>
      <w:keepNext/>
      <w:spacing w:before="240" w:after="60"/>
      <w:outlineLvl w:val="2"/>
    </w:pPr>
    <w:rPr>
      <w:b/>
    </w:rPr>
  </w:style>
  <w:style w:type="paragraph" w:styleId="Cmsor4">
    <w:name w:val="heading 4"/>
    <w:basedOn w:val="Norml"/>
    <w:next w:val="Norml"/>
    <w:link w:val="Cmsor4Char"/>
    <w:uiPriority w:val="99"/>
    <w:qFormat/>
    <w:rsid w:val="003B5ED8"/>
    <w:pPr>
      <w:keepNext/>
      <w:spacing w:before="120"/>
      <w:outlineLvl w:val="3"/>
    </w:pPr>
  </w:style>
  <w:style w:type="paragraph" w:styleId="Cmsor5">
    <w:name w:val="heading 5"/>
    <w:basedOn w:val="Norml"/>
    <w:next w:val="Norml"/>
    <w:link w:val="Cmsor5Char"/>
    <w:uiPriority w:val="99"/>
    <w:qFormat/>
    <w:rsid w:val="003B5ED8"/>
    <w:pPr>
      <w:spacing w:before="60" w:after="60"/>
      <w:outlineLvl w:val="4"/>
    </w:pPr>
    <w:rPr>
      <w:i/>
    </w:rPr>
  </w:style>
  <w:style w:type="paragraph" w:styleId="Cmsor6">
    <w:name w:val="heading 6"/>
    <w:basedOn w:val="Norml"/>
    <w:next w:val="Norml"/>
    <w:link w:val="Cmsor6Char"/>
    <w:uiPriority w:val="99"/>
    <w:qFormat/>
    <w:rsid w:val="003B5ED8"/>
    <w:pPr>
      <w:spacing w:before="40" w:after="40"/>
      <w:outlineLvl w:val="5"/>
    </w:pPr>
  </w:style>
  <w:style w:type="paragraph" w:styleId="Cmsor7">
    <w:name w:val="heading 7"/>
    <w:basedOn w:val="Norml"/>
    <w:next w:val="Norml"/>
    <w:link w:val="Cmsor7Char"/>
    <w:uiPriority w:val="99"/>
    <w:qFormat/>
    <w:rsid w:val="003B5ED8"/>
    <w:pPr>
      <w:keepNext/>
      <w:outlineLvl w:val="6"/>
    </w:pPr>
    <w:rPr>
      <w:u w:val="single"/>
    </w:rPr>
  </w:style>
  <w:style w:type="paragraph" w:styleId="Cmsor8">
    <w:name w:val="heading 8"/>
    <w:basedOn w:val="Norml"/>
    <w:next w:val="Norml"/>
    <w:link w:val="Cmsor8Char"/>
    <w:uiPriority w:val="99"/>
    <w:qFormat/>
    <w:rsid w:val="003B5ED8"/>
    <w:pPr>
      <w:keepNext/>
      <w:ind w:left="1440"/>
      <w:outlineLvl w:val="7"/>
    </w:pPr>
    <w:rPr>
      <w:rFonts w:ascii="H_Orig Garamond BT" w:hAnsi="H_Orig Garamond BT"/>
      <w:u w:val="single"/>
    </w:rPr>
  </w:style>
  <w:style w:type="paragraph" w:styleId="Cmsor9">
    <w:name w:val="heading 9"/>
    <w:basedOn w:val="Norml"/>
    <w:next w:val="Norml"/>
    <w:link w:val="Cmsor9Char"/>
    <w:uiPriority w:val="99"/>
    <w:qFormat/>
    <w:rsid w:val="003B5ED8"/>
    <w:pPr>
      <w:keepNext/>
      <w:ind w:firstLine="720"/>
      <w:outlineLvl w:val="8"/>
    </w:pPr>
    <w:rPr>
      <w:rFonts w:ascii="H_Orig Garamond BT" w:hAnsi="H_Orig Garamond BT"/>
      <w:b/>
      <w:i/>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D81C2F"/>
    <w:rPr>
      <w:rFonts w:ascii="H_Orig Garamond BT" w:hAnsi="H_Orig Garamond BT" w:cs="Times New Roman"/>
      <w:b/>
      <w:caps/>
      <w:kern w:val="28"/>
      <w:sz w:val="24"/>
      <w:lang w:val="hu-HU" w:eastAsia="hu-HU"/>
    </w:rPr>
  </w:style>
  <w:style w:type="character" w:customStyle="1" w:styleId="Cmsor2Char">
    <w:name w:val="Címsor 2 Char"/>
    <w:basedOn w:val="Bekezdsalapbettpusa"/>
    <w:link w:val="Cmsor2"/>
    <w:locked/>
    <w:rsid w:val="00DE4976"/>
    <w:rPr>
      <w:rFonts w:ascii="Cambria" w:hAnsi="Cambria" w:cs="Times New Roman"/>
      <w:b/>
      <w:bCs/>
      <w:i/>
      <w:iCs/>
      <w:sz w:val="28"/>
      <w:szCs w:val="28"/>
    </w:rPr>
  </w:style>
  <w:style w:type="character" w:customStyle="1" w:styleId="Cmsor3Char">
    <w:name w:val="Címsor 3 Char"/>
    <w:basedOn w:val="Bekezdsalapbettpusa"/>
    <w:link w:val="Cmsor3"/>
    <w:uiPriority w:val="99"/>
    <w:semiHidden/>
    <w:locked/>
    <w:rsid w:val="00DE4976"/>
    <w:rPr>
      <w:rFonts w:ascii="Cambria" w:hAnsi="Cambria" w:cs="Times New Roman"/>
      <w:b/>
      <w:bCs/>
      <w:sz w:val="26"/>
      <w:szCs w:val="26"/>
    </w:rPr>
  </w:style>
  <w:style w:type="character" w:customStyle="1" w:styleId="Cmsor4Char">
    <w:name w:val="Címsor 4 Char"/>
    <w:basedOn w:val="Bekezdsalapbettpusa"/>
    <w:link w:val="Cmsor4"/>
    <w:uiPriority w:val="99"/>
    <w:semiHidden/>
    <w:locked/>
    <w:rsid w:val="00DE4976"/>
    <w:rPr>
      <w:rFonts w:ascii="Calibri" w:hAnsi="Calibri" w:cs="Times New Roman"/>
      <w:b/>
      <w:bCs/>
      <w:sz w:val="28"/>
      <w:szCs w:val="28"/>
    </w:rPr>
  </w:style>
  <w:style w:type="character" w:customStyle="1" w:styleId="Cmsor5Char">
    <w:name w:val="Címsor 5 Char"/>
    <w:basedOn w:val="Bekezdsalapbettpusa"/>
    <w:link w:val="Cmsor5"/>
    <w:uiPriority w:val="99"/>
    <w:semiHidden/>
    <w:locked/>
    <w:rsid w:val="00DE4976"/>
    <w:rPr>
      <w:rFonts w:ascii="Calibri" w:hAnsi="Calibri" w:cs="Times New Roman"/>
      <w:b/>
      <w:bCs/>
      <w:i/>
      <w:iCs/>
      <w:sz w:val="26"/>
      <w:szCs w:val="26"/>
    </w:rPr>
  </w:style>
  <w:style w:type="character" w:customStyle="1" w:styleId="Cmsor6Char">
    <w:name w:val="Címsor 6 Char"/>
    <w:basedOn w:val="Bekezdsalapbettpusa"/>
    <w:link w:val="Cmsor6"/>
    <w:uiPriority w:val="99"/>
    <w:semiHidden/>
    <w:locked/>
    <w:rsid w:val="00DE4976"/>
    <w:rPr>
      <w:rFonts w:ascii="Calibri" w:hAnsi="Calibri" w:cs="Times New Roman"/>
      <w:b/>
      <w:bCs/>
    </w:rPr>
  </w:style>
  <w:style w:type="character" w:customStyle="1" w:styleId="Cmsor7Char">
    <w:name w:val="Címsor 7 Char"/>
    <w:basedOn w:val="Bekezdsalapbettpusa"/>
    <w:link w:val="Cmsor7"/>
    <w:uiPriority w:val="99"/>
    <w:semiHidden/>
    <w:locked/>
    <w:rsid w:val="00DE4976"/>
    <w:rPr>
      <w:rFonts w:ascii="Calibri" w:hAnsi="Calibri" w:cs="Times New Roman"/>
      <w:sz w:val="24"/>
      <w:szCs w:val="24"/>
    </w:rPr>
  </w:style>
  <w:style w:type="character" w:customStyle="1" w:styleId="Cmsor8Char">
    <w:name w:val="Címsor 8 Char"/>
    <w:basedOn w:val="Bekezdsalapbettpusa"/>
    <w:link w:val="Cmsor8"/>
    <w:uiPriority w:val="99"/>
    <w:semiHidden/>
    <w:locked/>
    <w:rsid w:val="00DE4976"/>
    <w:rPr>
      <w:rFonts w:ascii="Calibri" w:hAnsi="Calibri" w:cs="Times New Roman"/>
      <w:i/>
      <w:iCs/>
      <w:sz w:val="24"/>
      <w:szCs w:val="24"/>
    </w:rPr>
  </w:style>
  <w:style w:type="character" w:customStyle="1" w:styleId="Cmsor9Char">
    <w:name w:val="Címsor 9 Char"/>
    <w:basedOn w:val="Bekezdsalapbettpusa"/>
    <w:link w:val="Cmsor9"/>
    <w:uiPriority w:val="99"/>
    <w:semiHidden/>
    <w:locked/>
    <w:rsid w:val="00DE4976"/>
    <w:rPr>
      <w:rFonts w:ascii="Cambria" w:hAnsi="Cambria" w:cs="Times New Roman"/>
    </w:rPr>
  </w:style>
  <w:style w:type="paragraph" w:styleId="Trgymutat1">
    <w:name w:val="index 1"/>
    <w:basedOn w:val="Norml"/>
    <w:next w:val="Norml"/>
    <w:uiPriority w:val="99"/>
    <w:semiHidden/>
    <w:rsid w:val="003B5ED8"/>
    <w:pPr>
      <w:tabs>
        <w:tab w:val="right" w:leader="dot" w:pos="3794"/>
      </w:tabs>
      <w:ind w:left="200" w:hanging="200"/>
    </w:pPr>
  </w:style>
  <w:style w:type="paragraph" w:styleId="Trgymutat2">
    <w:name w:val="index 2"/>
    <w:basedOn w:val="Norml"/>
    <w:next w:val="Norml"/>
    <w:uiPriority w:val="99"/>
    <w:semiHidden/>
    <w:rsid w:val="003B5ED8"/>
    <w:pPr>
      <w:tabs>
        <w:tab w:val="right" w:leader="dot" w:pos="3794"/>
      </w:tabs>
      <w:ind w:left="400" w:hanging="200"/>
    </w:pPr>
  </w:style>
  <w:style w:type="paragraph" w:styleId="Trgymutat3">
    <w:name w:val="index 3"/>
    <w:basedOn w:val="Norml"/>
    <w:next w:val="Norml"/>
    <w:uiPriority w:val="99"/>
    <w:semiHidden/>
    <w:rsid w:val="003B5ED8"/>
    <w:pPr>
      <w:tabs>
        <w:tab w:val="right" w:leader="dot" w:pos="3794"/>
      </w:tabs>
      <w:ind w:left="600" w:hanging="200"/>
    </w:pPr>
  </w:style>
  <w:style w:type="paragraph" w:styleId="Trgymutat4">
    <w:name w:val="index 4"/>
    <w:basedOn w:val="Norml"/>
    <w:next w:val="Norml"/>
    <w:uiPriority w:val="99"/>
    <w:semiHidden/>
    <w:rsid w:val="003B5ED8"/>
    <w:pPr>
      <w:tabs>
        <w:tab w:val="right" w:leader="dot" w:pos="3794"/>
      </w:tabs>
      <w:ind w:left="800" w:hanging="200"/>
    </w:pPr>
  </w:style>
  <w:style w:type="paragraph" w:styleId="Trgymutat5">
    <w:name w:val="index 5"/>
    <w:basedOn w:val="Norml"/>
    <w:next w:val="Norml"/>
    <w:uiPriority w:val="99"/>
    <w:semiHidden/>
    <w:rsid w:val="003B5ED8"/>
    <w:pPr>
      <w:tabs>
        <w:tab w:val="right" w:leader="dot" w:pos="3794"/>
      </w:tabs>
      <w:ind w:left="1000" w:hanging="200"/>
    </w:pPr>
  </w:style>
  <w:style w:type="paragraph" w:styleId="Trgymutat6">
    <w:name w:val="index 6"/>
    <w:basedOn w:val="Norml"/>
    <w:next w:val="Norml"/>
    <w:uiPriority w:val="99"/>
    <w:semiHidden/>
    <w:rsid w:val="003B5ED8"/>
    <w:pPr>
      <w:tabs>
        <w:tab w:val="right" w:leader="dot" w:pos="3794"/>
      </w:tabs>
      <w:ind w:left="1200" w:hanging="200"/>
    </w:pPr>
  </w:style>
  <w:style w:type="paragraph" w:styleId="Trgymutat7">
    <w:name w:val="index 7"/>
    <w:basedOn w:val="Norml"/>
    <w:next w:val="Norml"/>
    <w:uiPriority w:val="99"/>
    <w:semiHidden/>
    <w:rsid w:val="003B5ED8"/>
    <w:pPr>
      <w:tabs>
        <w:tab w:val="right" w:leader="dot" w:pos="3794"/>
      </w:tabs>
      <w:ind w:left="1400" w:hanging="200"/>
    </w:pPr>
  </w:style>
  <w:style w:type="paragraph" w:styleId="Trgymutat8">
    <w:name w:val="index 8"/>
    <w:basedOn w:val="Norml"/>
    <w:next w:val="Norml"/>
    <w:uiPriority w:val="99"/>
    <w:semiHidden/>
    <w:rsid w:val="003B5ED8"/>
    <w:pPr>
      <w:tabs>
        <w:tab w:val="right" w:leader="dot" w:pos="3794"/>
      </w:tabs>
      <w:ind w:left="1600" w:hanging="200"/>
    </w:pPr>
  </w:style>
  <w:style w:type="paragraph" w:styleId="Trgymutat9">
    <w:name w:val="index 9"/>
    <w:basedOn w:val="Norml"/>
    <w:next w:val="Norml"/>
    <w:uiPriority w:val="99"/>
    <w:semiHidden/>
    <w:rsid w:val="003B5ED8"/>
    <w:pPr>
      <w:tabs>
        <w:tab w:val="right" w:leader="dot" w:pos="3794"/>
      </w:tabs>
      <w:ind w:left="1800" w:hanging="200"/>
    </w:pPr>
  </w:style>
  <w:style w:type="paragraph" w:styleId="Trgymutatcm">
    <w:name w:val="index heading"/>
    <w:basedOn w:val="Norml"/>
    <w:next w:val="Trgymutat1"/>
    <w:uiPriority w:val="99"/>
    <w:semiHidden/>
    <w:rsid w:val="003B5ED8"/>
  </w:style>
  <w:style w:type="paragraph" w:styleId="TJ1">
    <w:name w:val="toc 1"/>
    <w:basedOn w:val="Norml"/>
    <w:next w:val="Norml"/>
    <w:uiPriority w:val="39"/>
    <w:rsid w:val="00D9542A"/>
    <w:pPr>
      <w:spacing w:before="120"/>
      <w:jc w:val="left"/>
    </w:pPr>
    <w:rPr>
      <w:rFonts w:ascii="Times New Roman" w:hAnsi="Times New Roman"/>
      <w:b/>
      <w:bCs/>
      <w:caps/>
      <w:sz w:val="20"/>
      <w:szCs w:val="20"/>
    </w:rPr>
  </w:style>
  <w:style w:type="paragraph" w:styleId="TJ2">
    <w:name w:val="toc 2"/>
    <w:basedOn w:val="Norml"/>
    <w:next w:val="Norml"/>
    <w:uiPriority w:val="39"/>
    <w:rsid w:val="00E369B5"/>
    <w:pPr>
      <w:spacing w:after="0"/>
      <w:ind w:left="160"/>
      <w:jc w:val="left"/>
    </w:pPr>
    <w:rPr>
      <w:rFonts w:ascii="Times New Roman" w:hAnsi="Times New Roman"/>
      <w:smallCaps/>
      <w:sz w:val="20"/>
      <w:szCs w:val="20"/>
    </w:rPr>
  </w:style>
  <w:style w:type="paragraph" w:styleId="TJ3">
    <w:name w:val="toc 3"/>
    <w:basedOn w:val="Norml"/>
    <w:next w:val="Norml"/>
    <w:uiPriority w:val="39"/>
    <w:rsid w:val="003B5ED8"/>
    <w:pPr>
      <w:spacing w:after="0"/>
      <w:ind w:left="320"/>
      <w:jc w:val="left"/>
    </w:pPr>
    <w:rPr>
      <w:rFonts w:ascii="Times New Roman" w:hAnsi="Times New Roman"/>
      <w:i/>
      <w:iCs/>
      <w:sz w:val="20"/>
      <w:szCs w:val="20"/>
    </w:rPr>
  </w:style>
  <w:style w:type="paragraph" w:styleId="TJ4">
    <w:name w:val="toc 4"/>
    <w:basedOn w:val="Norml"/>
    <w:next w:val="Norml"/>
    <w:uiPriority w:val="39"/>
    <w:rsid w:val="003B5ED8"/>
    <w:pPr>
      <w:spacing w:after="0"/>
      <w:ind w:left="480"/>
      <w:jc w:val="left"/>
    </w:pPr>
    <w:rPr>
      <w:rFonts w:ascii="Times New Roman" w:hAnsi="Times New Roman"/>
      <w:sz w:val="18"/>
      <w:szCs w:val="18"/>
    </w:rPr>
  </w:style>
  <w:style w:type="paragraph" w:styleId="TJ5">
    <w:name w:val="toc 5"/>
    <w:basedOn w:val="Norml"/>
    <w:next w:val="Norml"/>
    <w:uiPriority w:val="39"/>
    <w:rsid w:val="003B5ED8"/>
    <w:pPr>
      <w:spacing w:after="0"/>
      <w:ind w:left="640"/>
      <w:jc w:val="left"/>
    </w:pPr>
    <w:rPr>
      <w:rFonts w:ascii="Times New Roman" w:hAnsi="Times New Roman"/>
      <w:sz w:val="18"/>
      <w:szCs w:val="18"/>
    </w:rPr>
  </w:style>
  <w:style w:type="paragraph" w:styleId="TJ6">
    <w:name w:val="toc 6"/>
    <w:basedOn w:val="Norml"/>
    <w:next w:val="Norml"/>
    <w:uiPriority w:val="39"/>
    <w:rsid w:val="003B5ED8"/>
    <w:pPr>
      <w:spacing w:after="0"/>
      <w:ind w:left="800"/>
      <w:jc w:val="left"/>
    </w:pPr>
    <w:rPr>
      <w:rFonts w:ascii="Times New Roman" w:hAnsi="Times New Roman"/>
      <w:sz w:val="18"/>
      <w:szCs w:val="18"/>
    </w:rPr>
  </w:style>
  <w:style w:type="paragraph" w:styleId="TJ7">
    <w:name w:val="toc 7"/>
    <w:basedOn w:val="Norml"/>
    <w:next w:val="Norml"/>
    <w:uiPriority w:val="39"/>
    <w:rsid w:val="003B5ED8"/>
    <w:pPr>
      <w:spacing w:after="0"/>
      <w:ind w:left="960"/>
      <w:jc w:val="left"/>
    </w:pPr>
    <w:rPr>
      <w:rFonts w:ascii="Times New Roman" w:hAnsi="Times New Roman"/>
      <w:sz w:val="18"/>
      <w:szCs w:val="18"/>
    </w:rPr>
  </w:style>
  <w:style w:type="paragraph" w:styleId="TJ8">
    <w:name w:val="toc 8"/>
    <w:basedOn w:val="Norml"/>
    <w:next w:val="Norml"/>
    <w:uiPriority w:val="39"/>
    <w:rsid w:val="003B5ED8"/>
    <w:pPr>
      <w:spacing w:after="0"/>
      <w:ind w:left="1120"/>
      <w:jc w:val="left"/>
    </w:pPr>
    <w:rPr>
      <w:rFonts w:ascii="Times New Roman" w:hAnsi="Times New Roman"/>
      <w:sz w:val="18"/>
      <w:szCs w:val="18"/>
    </w:rPr>
  </w:style>
  <w:style w:type="paragraph" w:styleId="TJ9">
    <w:name w:val="toc 9"/>
    <w:basedOn w:val="Norml"/>
    <w:next w:val="Norml"/>
    <w:uiPriority w:val="39"/>
    <w:rsid w:val="003B5ED8"/>
    <w:pPr>
      <w:spacing w:after="0"/>
      <w:ind w:left="1280"/>
      <w:jc w:val="left"/>
    </w:pPr>
    <w:rPr>
      <w:rFonts w:ascii="Times New Roman" w:hAnsi="Times New Roman"/>
      <w:sz w:val="18"/>
      <w:szCs w:val="18"/>
    </w:rPr>
  </w:style>
  <w:style w:type="paragraph" w:customStyle="1" w:styleId="u">
    <w:name w:val="u"/>
    <w:basedOn w:val="Norml"/>
    <w:uiPriority w:val="99"/>
    <w:rsid w:val="003B5ED8"/>
  </w:style>
  <w:style w:type="paragraph" w:styleId="lfej">
    <w:name w:val="header"/>
    <w:basedOn w:val="Norml"/>
    <w:link w:val="lfejChar"/>
    <w:uiPriority w:val="99"/>
    <w:rsid w:val="003B5ED8"/>
    <w:pPr>
      <w:tabs>
        <w:tab w:val="center" w:pos="4320"/>
        <w:tab w:val="right" w:pos="8640"/>
      </w:tabs>
    </w:pPr>
  </w:style>
  <w:style w:type="character" w:customStyle="1" w:styleId="lfejChar">
    <w:name w:val="Élőfej Char"/>
    <w:basedOn w:val="Bekezdsalapbettpusa"/>
    <w:link w:val="lfej"/>
    <w:uiPriority w:val="99"/>
    <w:locked/>
    <w:rsid w:val="002D723E"/>
    <w:rPr>
      <w:rFonts w:ascii="Verdana" w:hAnsi="Verdana" w:cs="Times New Roman"/>
      <w:sz w:val="16"/>
      <w:szCs w:val="16"/>
    </w:rPr>
  </w:style>
  <w:style w:type="character" w:styleId="Oldalszm">
    <w:name w:val="page number"/>
    <w:basedOn w:val="Bekezdsalapbettpusa"/>
    <w:uiPriority w:val="99"/>
    <w:rsid w:val="003B5ED8"/>
    <w:rPr>
      <w:rFonts w:cs="Times New Roman"/>
    </w:rPr>
  </w:style>
  <w:style w:type="paragraph" w:styleId="llb">
    <w:name w:val="footer"/>
    <w:basedOn w:val="Norml"/>
    <w:link w:val="llbChar"/>
    <w:uiPriority w:val="99"/>
    <w:rsid w:val="003B5ED8"/>
    <w:pPr>
      <w:tabs>
        <w:tab w:val="center" w:pos="4320"/>
        <w:tab w:val="right" w:pos="8640"/>
      </w:tabs>
    </w:pPr>
  </w:style>
  <w:style w:type="character" w:customStyle="1" w:styleId="llbChar">
    <w:name w:val="Élőláb Char"/>
    <w:basedOn w:val="Bekezdsalapbettpusa"/>
    <w:link w:val="llb"/>
    <w:uiPriority w:val="99"/>
    <w:locked/>
    <w:rsid w:val="001474F5"/>
    <w:rPr>
      <w:rFonts w:ascii="Verdana" w:hAnsi="Verdana" w:cs="Times New Roman"/>
      <w:sz w:val="16"/>
      <w:szCs w:val="16"/>
    </w:rPr>
  </w:style>
  <w:style w:type="paragraph" w:styleId="Szvegtrzsbehzssal">
    <w:name w:val="Body Text Indent"/>
    <w:basedOn w:val="Norml"/>
    <w:link w:val="SzvegtrzsbehzssalChar"/>
    <w:uiPriority w:val="99"/>
    <w:rsid w:val="003B5ED8"/>
    <w:pPr>
      <w:keepLines w:val="0"/>
      <w:spacing w:after="0"/>
    </w:pPr>
    <w:rPr>
      <w:rFonts w:ascii="Times New Roman" w:hAnsi="Times New Roman"/>
    </w:rPr>
  </w:style>
  <w:style w:type="character" w:customStyle="1" w:styleId="SzvegtrzsbehzssalChar">
    <w:name w:val="Szövegtörzs behúzással Char"/>
    <w:basedOn w:val="Bekezdsalapbettpusa"/>
    <w:link w:val="Szvegtrzsbehzssal"/>
    <w:uiPriority w:val="99"/>
    <w:semiHidden/>
    <w:locked/>
    <w:rsid w:val="00DE4976"/>
    <w:rPr>
      <w:rFonts w:ascii="Verdana" w:hAnsi="Verdana" w:cs="Times New Roman"/>
      <w:sz w:val="16"/>
      <w:szCs w:val="16"/>
    </w:rPr>
  </w:style>
  <w:style w:type="paragraph" w:styleId="Szvegtrzs3">
    <w:name w:val="Body Text 3"/>
    <w:basedOn w:val="Norml"/>
    <w:link w:val="Szvegtrzs3Char"/>
    <w:uiPriority w:val="99"/>
    <w:rsid w:val="003B5ED8"/>
    <w:rPr>
      <w:rFonts w:ascii="H_Orig Garamond BT" w:hAnsi="H_Orig Garamond BT"/>
      <w:color w:val="FF0000"/>
    </w:rPr>
  </w:style>
  <w:style w:type="character" w:customStyle="1" w:styleId="Szvegtrzs3Char">
    <w:name w:val="Szövegtörzs 3 Char"/>
    <w:basedOn w:val="Bekezdsalapbettpusa"/>
    <w:link w:val="Szvegtrzs3"/>
    <w:uiPriority w:val="99"/>
    <w:semiHidden/>
    <w:locked/>
    <w:rsid w:val="00DE4976"/>
    <w:rPr>
      <w:rFonts w:ascii="Verdana" w:hAnsi="Verdana" w:cs="Times New Roman"/>
      <w:sz w:val="16"/>
      <w:szCs w:val="16"/>
    </w:rPr>
  </w:style>
  <w:style w:type="paragraph" w:styleId="Szvegtrzs">
    <w:name w:val="Body Text"/>
    <w:basedOn w:val="Norml"/>
    <w:link w:val="SzvegtrzsChar"/>
    <w:uiPriority w:val="99"/>
    <w:rsid w:val="003B5ED8"/>
    <w:rPr>
      <w:rFonts w:ascii="H_Orig Garamond BT" w:hAnsi="H_Orig Garamond BT"/>
      <w:sz w:val="24"/>
    </w:rPr>
  </w:style>
  <w:style w:type="character" w:customStyle="1" w:styleId="SzvegtrzsChar">
    <w:name w:val="Szövegtörzs Char"/>
    <w:basedOn w:val="Bekezdsalapbettpusa"/>
    <w:link w:val="Szvegtrzs"/>
    <w:uiPriority w:val="99"/>
    <w:semiHidden/>
    <w:locked/>
    <w:rsid w:val="00DE4976"/>
    <w:rPr>
      <w:rFonts w:ascii="Verdana" w:hAnsi="Verdana" w:cs="Times New Roman"/>
      <w:sz w:val="16"/>
      <w:szCs w:val="16"/>
    </w:rPr>
  </w:style>
  <w:style w:type="paragraph" w:customStyle="1" w:styleId="BodyText21">
    <w:name w:val="Body Text 21"/>
    <w:basedOn w:val="Norml"/>
    <w:uiPriority w:val="99"/>
    <w:rsid w:val="003B5ED8"/>
    <w:pPr>
      <w:keepLines w:val="0"/>
      <w:tabs>
        <w:tab w:val="left" w:pos="0"/>
        <w:tab w:val="right" w:pos="8953"/>
      </w:tabs>
      <w:spacing w:before="48" w:after="0" w:line="360" w:lineRule="atLeast"/>
    </w:pPr>
    <w:rPr>
      <w:rFonts w:ascii="Times New Roman" w:hAnsi="Times New Roman"/>
      <w:sz w:val="24"/>
      <w:lang w:eastAsia="en-US"/>
    </w:rPr>
  </w:style>
  <w:style w:type="paragraph" w:styleId="Szvegtrzs2">
    <w:name w:val="Body Text 2"/>
    <w:basedOn w:val="Norml"/>
    <w:link w:val="Szvegtrzs2Char"/>
    <w:uiPriority w:val="99"/>
    <w:rsid w:val="003B5ED8"/>
    <w:rPr>
      <w:rFonts w:ascii="H_Orig Garamond BT" w:hAnsi="H_Orig Garamond BT"/>
      <w:u w:val="single"/>
    </w:rPr>
  </w:style>
  <w:style w:type="character" w:customStyle="1" w:styleId="Szvegtrzs2Char">
    <w:name w:val="Szövegtörzs 2 Char"/>
    <w:basedOn w:val="Bekezdsalapbettpusa"/>
    <w:link w:val="Szvegtrzs2"/>
    <w:uiPriority w:val="99"/>
    <w:semiHidden/>
    <w:locked/>
    <w:rsid w:val="00DE4976"/>
    <w:rPr>
      <w:rFonts w:ascii="Verdana" w:hAnsi="Verdana" w:cs="Times New Roman"/>
      <w:sz w:val="16"/>
      <w:szCs w:val="16"/>
    </w:rPr>
  </w:style>
  <w:style w:type="paragraph" w:styleId="Szvegtrzsbehzssal2">
    <w:name w:val="Body Text Indent 2"/>
    <w:basedOn w:val="Norml"/>
    <w:link w:val="Szvegtrzsbehzssal2Char"/>
    <w:uiPriority w:val="99"/>
    <w:rsid w:val="003B5ED8"/>
    <w:pPr>
      <w:keepLines w:val="0"/>
      <w:numPr>
        <w:ilvl w:val="12"/>
      </w:numPr>
      <w:ind w:firstLine="720"/>
    </w:pPr>
    <w:rPr>
      <w:rFonts w:ascii="H_Orig Garamond BT" w:hAnsi="H_Orig Garamond BT"/>
    </w:rPr>
  </w:style>
  <w:style w:type="character" w:customStyle="1" w:styleId="Szvegtrzsbehzssal2Char">
    <w:name w:val="Szövegtörzs behúzással 2 Char"/>
    <w:basedOn w:val="Bekezdsalapbettpusa"/>
    <w:link w:val="Szvegtrzsbehzssal2"/>
    <w:uiPriority w:val="99"/>
    <w:semiHidden/>
    <w:locked/>
    <w:rsid w:val="00DE4976"/>
    <w:rPr>
      <w:rFonts w:ascii="Verdana" w:hAnsi="Verdana" w:cs="Times New Roman"/>
      <w:sz w:val="16"/>
      <w:szCs w:val="16"/>
    </w:rPr>
  </w:style>
  <w:style w:type="paragraph" w:styleId="Szvegtrzsbehzssal3">
    <w:name w:val="Body Text Indent 3"/>
    <w:basedOn w:val="Norml"/>
    <w:link w:val="Szvegtrzsbehzssal3Char"/>
    <w:uiPriority w:val="99"/>
    <w:rsid w:val="003B5ED8"/>
    <w:pPr>
      <w:keepLines w:val="0"/>
      <w:spacing w:before="120" w:after="0"/>
      <w:ind w:left="567"/>
    </w:pPr>
    <w:rPr>
      <w:rFonts w:ascii="Times New Roman" w:hAnsi="Times New Roman"/>
      <w:color w:val="FF0000"/>
    </w:rPr>
  </w:style>
  <w:style w:type="character" w:customStyle="1" w:styleId="Szvegtrzsbehzssal3Char">
    <w:name w:val="Szövegtörzs behúzással 3 Char"/>
    <w:basedOn w:val="Bekezdsalapbettpusa"/>
    <w:link w:val="Szvegtrzsbehzssal3"/>
    <w:uiPriority w:val="99"/>
    <w:semiHidden/>
    <w:locked/>
    <w:rsid w:val="00DE4976"/>
    <w:rPr>
      <w:rFonts w:ascii="Verdana" w:hAnsi="Verdana" w:cs="Times New Roman"/>
      <w:sz w:val="16"/>
      <w:szCs w:val="16"/>
    </w:rPr>
  </w:style>
  <w:style w:type="paragraph" w:customStyle="1" w:styleId="Normal0">
    <w:name w:val="Normal0"/>
    <w:basedOn w:val="Norml"/>
    <w:autoRedefine/>
    <w:uiPriority w:val="99"/>
    <w:rsid w:val="003B5ED8"/>
    <w:pPr>
      <w:keepLines w:val="0"/>
      <w:tabs>
        <w:tab w:val="num" w:pos="2520"/>
      </w:tabs>
      <w:spacing w:before="120" w:after="0"/>
    </w:pPr>
    <w:rPr>
      <w:rFonts w:ascii="H_Orig Garamond BT" w:hAnsi="H_Orig Garamond BT"/>
      <w:spacing w:val="6"/>
      <w:lang w:eastAsia="en-US"/>
    </w:rPr>
  </w:style>
  <w:style w:type="paragraph" w:styleId="Lista2">
    <w:name w:val="List 2"/>
    <w:basedOn w:val="Norml"/>
    <w:uiPriority w:val="99"/>
    <w:rsid w:val="003B5ED8"/>
    <w:pPr>
      <w:keepLines w:val="0"/>
      <w:spacing w:after="0"/>
      <w:ind w:left="566" w:hanging="283"/>
      <w:jc w:val="left"/>
    </w:pPr>
    <w:rPr>
      <w:rFonts w:ascii="Times New Roman" w:hAnsi="Times New Roman"/>
    </w:rPr>
  </w:style>
  <w:style w:type="paragraph" w:customStyle="1" w:styleId="Cimfej">
    <w:name w:val="Cimfej"/>
    <w:basedOn w:val="Norml"/>
    <w:next w:val="Norml"/>
    <w:uiPriority w:val="99"/>
    <w:rsid w:val="003B5ED8"/>
    <w:pPr>
      <w:keepLines w:val="0"/>
      <w:spacing w:after="0"/>
      <w:jc w:val="left"/>
    </w:pPr>
    <w:rPr>
      <w:rFonts w:ascii="Arial" w:hAnsi="Arial"/>
      <w:sz w:val="24"/>
      <w:lang w:val="da-DK"/>
    </w:rPr>
  </w:style>
  <w:style w:type="paragraph" w:customStyle="1" w:styleId="Tblzat">
    <w:name w:val="Táblázat"/>
    <w:basedOn w:val="Norml"/>
    <w:next w:val="Norml"/>
    <w:uiPriority w:val="99"/>
    <w:rsid w:val="003B5ED8"/>
    <w:pPr>
      <w:keepNext/>
      <w:keepLines w:val="0"/>
      <w:widowControl w:val="0"/>
      <w:spacing w:after="0"/>
    </w:pPr>
    <w:rPr>
      <w:rFonts w:ascii="H_Orig Garamond BT" w:hAnsi="H_Orig Garamond BT"/>
      <w:color w:val="000000"/>
    </w:rPr>
  </w:style>
  <w:style w:type="paragraph" w:customStyle="1" w:styleId="2cm">
    <w:name w:val="2. cím"/>
    <w:basedOn w:val="1cm"/>
    <w:uiPriority w:val="99"/>
    <w:rsid w:val="003B5ED8"/>
    <w:pPr>
      <w:numPr>
        <w:numId w:val="4"/>
      </w:numPr>
    </w:pPr>
    <w:rPr>
      <w:sz w:val="24"/>
    </w:rPr>
  </w:style>
  <w:style w:type="paragraph" w:customStyle="1" w:styleId="1cm">
    <w:name w:val="1. cím"/>
    <w:basedOn w:val="Norml"/>
    <w:uiPriority w:val="99"/>
    <w:rsid w:val="003B5ED8"/>
    <w:pPr>
      <w:keepNext/>
      <w:keepLines w:val="0"/>
      <w:widowControl w:val="0"/>
      <w:spacing w:before="300" w:after="240"/>
      <w:jc w:val="center"/>
    </w:pPr>
    <w:rPr>
      <w:rFonts w:ascii="H_Orig Garamond BT" w:hAnsi="H_Orig Garamond BT"/>
      <w:b/>
      <w:sz w:val="28"/>
    </w:rPr>
  </w:style>
  <w:style w:type="character" w:styleId="Hiperhivatkozs">
    <w:name w:val="Hyperlink"/>
    <w:basedOn w:val="Bekezdsalapbettpusa"/>
    <w:uiPriority w:val="99"/>
    <w:rsid w:val="003B5ED8"/>
    <w:rPr>
      <w:rFonts w:cs="Times New Roman"/>
      <w:color w:val="0000FF"/>
      <w:u w:val="single"/>
    </w:rPr>
  </w:style>
  <w:style w:type="paragraph" w:customStyle="1" w:styleId="kettes">
    <w:name w:val="kettes"/>
    <w:basedOn w:val="TJ2"/>
    <w:uiPriority w:val="99"/>
    <w:rsid w:val="003B5ED8"/>
    <w:pPr>
      <w:keepLines w:val="0"/>
      <w:tabs>
        <w:tab w:val="right" w:leader="dot" w:pos="8313"/>
      </w:tabs>
      <w:ind w:left="0"/>
    </w:pPr>
    <w:rPr>
      <w:rFonts w:ascii="H-Arial" w:hAnsi="H-Arial"/>
      <w:b/>
      <w:sz w:val="24"/>
      <w:lang w:val="en-GB"/>
    </w:rPr>
  </w:style>
  <w:style w:type="paragraph" w:customStyle="1" w:styleId="Normal2">
    <w:name w:val="Normal2"/>
    <w:basedOn w:val="Norml"/>
    <w:uiPriority w:val="99"/>
    <w:rsid w:val="003B5ED8"/>
    <w:pPr>
      <w:keepLines w:val="0"/>
      <w:numPr>
        <w:numId w:val="2"/>
      </w:numPr>
      <w:spacing w:before="120" w:after="0"/>
    </w:pPr>
    <w:rPr>
      <w:rFonts w:ascii="H_Orig Garamond BT" w:hAnsi="H_Orig Garamond BT"/>
      <w:spacing w:val="6"/>
    </w:rPr>
  </w:style>
  <w:style w:type="paragraph" w:customStyle="1" w:styleId="Normal2b">
    <w:name w:val="Normal2b"/>
    <w:basedOn w:val="Norml"/>
    <w:uiPriority w:val="99"/>
    <w:rsid w:val="003B5ED8"/>
    <w:pPr>
      <w:keepLines w:val="0"/>
      <w:numPr>
        <w:numId w:val="3"/>
      </w:numPr>
      <w:tabs>
        <w:tab w:val="clear" w:pos="360"/>
        <w:tab w:val="num" w:pos="720"/>
      </w:tabs>
      <w:spacing w:after="0"/>
      <w:ind w:left="720"/>
    </w:pPr>
    <w:rPr>
      <w:rFonts w:ascii="H_Orig Garamond BT" w:hAnsi="H_Orig Garamond BT"/>
      <w:spacing w:val="6"/>
    </w:rPr>
  </w:style>
  <w:style w:type="paragraph" w:customStyle="1" w:styleId="alap0">
    <w:name w:val="alap 0"/>
    <w:basedOn w:val="Cmsor1"/>
    <w:uiPriority w:val="99"/>
    <w:rsid w:val="003B5ED8"/>
    <w:pPr>
      <w:spacing w:before="360" w:after="240"/>
    </w:pPr>
  </w:style>
  <w:style w:type="paragraph" w:customStyle="1" w:styleId="alap1">
    <w:name w:val="alap 1"/>
    <w:basedOn w:val="Cmsor2"/>
    <w:uiPriority w:val="99"/>
    <w:rsid w:val="003B5ED8"/>
    <w:pPr>
      <w:spacing w:before="180" w:after="180"/>
      <w:ind w:left="567"/>
      <w:jc w:val="left"/>
    </w:pPr>
    <w:rPr>
      <w:rFonts w:ascii="H_Orig Garamond BT" w:hAnsi="H_Orig Garamond BT"/>
    </w:rPr>
  </w:style>
  <w:style w:type="paragraph" w:customStyle="1" w:styleId="alap2">
    <w:name w:val="alap 2"/>
    <w:basedOn w:val="alap1"/>
    <w:uiPriority w:val="99"/>
    <w:rsid w:val="003B5ED8"/>
    <w:pPr>
      <w:spacing w:before="120" w:after="120"/>
      <w:ind w:left="454"/>
    </w:pPr>
    <w:rPr>
      <w:b w:val="0"/>
      <w:i/>
    </w:rPr>
  </w:style>
  <w:style w:type="paragraph" w:customStyle="1" w:styleId="Normal2a">
    <w:name w:val="Normal2a"/>
    <w:basedOn w:val="Normal2"/>
    <w:uiPriority w:val="99"/>
    <w:rsid w:val="003B5ED8"/>
    <w:pPr>
      <w:numPr>
        <w:numId w:val="0"/>
      </w:numPr>
      <w:tabs>
        <w:tab w:val="num" w:pos="360"/>
      </w:tabs>
      <w:spacing w:before="0"/>
      <w:ind w:left="360" w:hanging="360"/>
    </w:pPr>
  </w:style>
  <w:style w:type="paragraph" w:customStyle="1" w:styleId="alap3">
    <w:name w:val="alap 3"/>
    <w:basedOn w:val="Norml"/>
    <w:autoRedefine/>
    <w:uiPriority w:val="99"/>
    <w:rsid w:val="00464582"/>
    <w:pPr>
      <w:spacing w:before="120"/>
    </w:pPr>
    <w:rPr>
      <w:rFonts w:cs="Arial"/>
      <w:sz w:val="18"/>
      <w:szCs w:val="18"/>
    </w:rPr>
  </w:style>
  <w:style w:type="paragraph" w:customStyle="1" w:styleId="a">
    <w:name w:val="û"/>
    <w:basedOn w:val="Norml"/>
    <w:uiPriority w:val="99"/>
    <w:rsid w:val="003B5ED8"/>
    <w:rPr>
      <w:rFonts w:ascii="HToronto" w:hAnsi="HToronto"/>
      <w:lang w:eastAsia="en-US"/>
    </w:rPr>
  </w:style>
  <w:style w:type="paragraph" w:styleId="Szvegblokk">
    <w:name w:val="Block Text"/>
    <w:basedOn w:val="Norml"/>
    <w:uiPriority w:val="99"/>
    <w:rsid w:val="003B5ED8"/>
    <w:pPr>
      <w:keepLines w:val="0"/>
      <w:numPr>
        <w:ilvl w:val="12"/>
      </w:numPr>
      <w:ind w:left="720" w:right="15"/>
    </w:pPr>
    <w:rPr>
      <w:i/>
      <w:iCs/>
    </w:rPr>
  </w:style>
  <w:style w:type="paragraph" w:styleId="NormlWeb">
    <w:name w:val="Normal (Web)"/>
    <w:basedOn w:val="Norml"/>
    <w:link w:val="NormlWebChar"/>
    <w:uiPriority w:val="99"/>
    <w:rsid w:val="003B5ED8"/>
    <w:pPr>
      <w:keepLines w:val="0"/>
      <w:spacing w:before="100" w:beforeAutospacing="1" w:after="100" w:afterAutospacing="1"/>
      <w:jc w:val="left"/>
    </w:pPr>
    <w:rPr>
      <w:rFonts w:ascii="H_Orig Garamond BT" w:hAnsi="H_Orig Garamond BT"/>
      <w:b/>
      <w:caps/>
      <w:kern w:val="28"/>
      <w:sz w:val="24"/>
      <w:szCs w:val="20"/>
    </w:rPr>
  </w:style>
  <w:style w:type="character" w:styleId="Mrltotthiperhivatkozs">
    <w:name w:val="FollowedHyperlink"/>
    <w:basedOn w:val="Bekezdsalapbettpusa"/>
    <w:uiPriority w:val="99"/>
    <w:rsid w:val="003B5ED8"/>
    <w:rPr>
      <w:rFonts w:cs="Times New Roman"/>
      <w:color w:val="800080"/>
      <w:u w:val="single"/>
    </w:rPr>
  </w:style>
  <w:style w:type="paragraph" w:styleId="Buborkszveg">
    <w:name w:val="Balloon Text"/>
    <w:basedOn w:val="Norml"/>
    <w:link w:val="BuborkszvegChar"/>
    <w:uiPriority w:val="99"/>
    <w:semiHidden/>
    <w:rsid w:val="00E751AF"/>
    <w:rPr>
      <w:rFonts w:ascii="Tahoma" w:hAnsi="Tahoma" w:cs="Tahoma"/>
    </w:rPr>
  </w:style>
  <w:style w:type="character" w:customStyle="1" w:styleId="BuborkszvegChar">
    <w:name w:val="Buborékszöveg Char"/>
    <w:basedOn w:val="Bekezdsalapbettpusa"/>
    <w:link w:val="Buborkszveg"/>
    <w:uiPriority w:val="99"/>
    <w:semiHidden/>
    <w:locked/>
    <w:rsid w:val="00DE4976"/>
    <w:rPr>
      <w:rFonts w:cs="Times New Roman"/>
      <w:sz w:val="2"/>
    </w:rPr>
  </w:style>
  <w:style w:type="paragraph" w:customStyle="1" w:styleId="fogalmak">
    <w:name w:val="fogalmak"/>
    <w:basedOn w:val="Norml"/>
    <w:uiPriority w:val="99"/>
    <w:rsid w:val="005C1EB6"/>
    <w:pPr>
      <w:keepLines w:val="0"/>
      <w:spacing w:after="0"/>
      <w:ind w:left="2835" w:hanging="2835"/>
    </w:pPr>
    <w:rPr>
      <w:rFonts w:ascii="H-Arial" w:hAnsi="H-Arial"/>
      <w:sz w:val="24"/>
      <w:lang w:val="en-GB"/>
    </w:rPr>
  </w:style>
  <w:style w:type="table" w:styleId="Rcsostblzat">
    <w:name w:val="Table Grid"/>
    <w:basedOn w:val="Normltblzat"/>
    <w:uiPriority w:val="99"/>
    <w:rsid w:val="00E968CE"/>
    <w:pPr>
      <w:keepLines/>
      <w:spacing w:after="120"/>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corde1">
    <w:name w:val="Concorde 1"/>
    <w:next w:val="Norml"/>
    <w:link w:val="Concorde1Char"/>
    <w:autoRedefine/>
    <w:uiPriority w:val="99"/>
    <w:rsid w:val="006C3426"/>
    <w:pPr>
      <w:spacing w:before="240" w:after="480"/>
      <w:jc w:val="center"/>
    </w:pPr>
    <w:rPr>
      <w:rFonts w:ascii="Verdana" w:hAnsi="Verdana"/>
      <w:b/>
      <w:smallCaps/>
    </w:rPr>
  </w:style>
  <w:style w:type="character" w:customStyle="1" w:styleId="Concorde1Char">
    <w:name w:val="Concorde 1 Char"/>
    <w:link w:val="Concorde1"/>
    <w:uiPriority w:val="99"/>
    <w:locked/>
    <w:rsid w:val="006C3426"/>
    <w:rPr>
      <w:rFonts w:ascii="Verdana" w:hAnsi="Verdana"/>
      <w:b/>
      <w:smallCaps/>
      <w:sz w:val="22"/>
      <w:lang w:val="hu-HU" w:eastAsia="hu-HU"/>
    </w:rPr>
  </w:style>
  <w:style w:type="paragraph" w:customStyle="1" w:styleId="Concorde2">
    <w:name w:val="Concorde 2"/>
    <w:next w:val="Norml"/>
    <w:link w:val="Concorde2Char"/>
    <w:autoRedefine/>
    <w:uiPriority w:val="99"/>
    <w:rsid w:val="008037A5"/>
    <w:pPr>
      <w:spacing w:before="240" w:after="240"/>
      <w:jc w:val="center"/>
    </w:pPr>
    <w:rPr>
      <w:rFonts w:ascii="Verdana" w:hAnsi="Verdana"/>
      <w:b/>
      <w:smallCaps/>
    </w:rPr>
  </w:style>
  <w:style w:type="paragraph" w:customStyle="1" w:styleId="StlusNormal2bVerdanaBal0cmElssor0cmUtna3pt">
    <w:name w:val="Stílus Normal2b + Verdana Bal:  0 cm Első sor:  0 cm Utána:  3 pt"/>
    <w:basedOn w:val="Normal2b"/>
    <w:uiPriority w:val="99"/>
    <w:rsid w:val="00C81684"/>
    <w:pPr>
      <w:spacing w:after="60"/>
      <w:ind w:left="0" w:firstLine="0"/>
    </w:pPr>
    <w:rPr>
      <w:rFonts w:ascii="Verdana" w:hAnsi="Verdana"/>
      <w:bCs/>
      <w:spacing w:val="0"/>
      <w:szCs w:val="20"/>
    </w:rPr>
  </w:style>
  <w:style w:type="paragraph" w:customStyle="1" w:styleId="Concorde0">
    <w:name w:val="Concorde 0"/>
    <w:next w:val="Norml"/>
    <w:autoRedefine/>
    <w:uiPriority w:val="99"/>
    <w:rsid w:val="008037A5"/>
    <w:pPr>
      <w:spacing w:before="240" w:after="480"/>
      <w:jc w:val="center"/>
    </w:pPr>
    <w:rPr>
      <w:rFonts w:ascii="Verdana" w:hAnsi="Verdana"/>
      <w:b/>
      <w:bCs/>
      <w:caps/>
      <w:sz w:val="32"/>
      <w:szCs w:val="32"/>
    </w:rPr>
  </w:style>
  <w:style w:type="paragraph" w:customStyle="1" w:styleId="Concorde5">
    <w:name w:val="Concorde 5"/>
    <w:basedOn w:val="Norml"/>
    <w:next w:val="Norml"/>
    <w:link w:val="Concorde5Char"/>
    <w:autoRedefine/>
    <w:uiPriority w:val="99"/>
    <w:rsid w:val="002F4C30"/>
    <w:rPr>
      <w:b/>
      <w:i/>
      <w:sz w:val="20"/>
      <w:szCs w:val="20"/>
    </w:rPr>
  </w:style>
  <w:style w:type="character" w:customStyle="1" w:styleId="NormlWebChar">
    <w:name w:val="Normál (Web) Char"/>
    <w:link w:val="NormlWeb"/>
    <w:uiPriority w:val="99"/>
    <w:locked/>
    <w:rsid w:val="00E040C0"/>
    <w:rPr>
      <w:rFonts w:ascii="H_Orig Garamond BT" w:hAnsi="H_Orig Garamond BT"/>
      <w:b/>
      <w:caps/>
      <w:kern w:val="28"/>
      <w:sz w:val="24"/>
      <w:lang w:val="hu-HU" w:eastAsia="hu-HU"/>
    </w:rPr>
  </w:style>
  <w:style w:type="character" w:styleId="Jegyzethivatkozs">
    <w:name w:val="annotation reference"/>
    <w:basedOn w:val="Bekezdsalapbettpusa"/>
    <w:uiPriority w:val="99"/>
    <w:semiHidden/>
    <w:rsid w:val="008E509F"/>
    <w:rPr>
      <w:rFonts w:cs="Times New Roman"/>
      <w:sz w:val="16"/>
    </w:rPr>
  </w:style>
  <w:style w:type="paragraph" w:styleId="Jegyzetszveg">
    <w:name w:val="annotation text"/>
    <w:basedOn w:val="Norml"/>
    <w:link w:val="JegyzetszvegChar"/>
    <w:uiPriority w:val="99"/>
    <w:semiHidden/>
    <w:rsid w:val="008E509F"/>
    <w:rPr>
      <w:sz w:val="20"/>
      <w:szCs w:val="20"/>
    </w:rPr>
  </w:style>
  <w:style w:type="character" w:customStyle="1" w:styleId="JegyzetszvegChar">
    <w:name w:val="Jegyzetszöveg Char"/>
    <w:basedOn w:val="Bekezdsalapbettpusa"/>
    <w:link w:val="Jegyzetszveg"/>
    <w:uiPriority w:val="99"/>
    <w:semiHidden/>
    <w:locked/>
    <w:rsid w:val="00DE4976"/>
    <w:rPr>
      <w:rFonts w:ascii="Verdana" w:hAnsi="Verdana" w:cs="Times New Roman"/>
      <w:sz w:val="20"/>
      <w:szCs w:val="20"/>
    </w:rPr>
  </w:style>
  <w:style w:type="paragraph" w:styleId="Megjegyzstrgya">
    <w:name w:val="annotation subject"/>
    <w:basedOn w:val="Jegyzetszveg"/>
    <w:next w:val="Jegyzetszveg"/>
    <w:link w:val="MegjegyzstrgyaChar"/>
    <w:uiPriority w:val="99"/>
    <w:semiHidden/>
    <w:rsid w:val="008E509F"/>
    <w:rPr>
      <w:b/>
      <w:bCs/>
    </w:rPr>
  </w:style>
  <w:style w:type="character" w:customStyle="1" w:styleId="MegjegyzstrgyaChar">
    <w:name w:val="Megjegyzés tárgya Char"/>
    <w:basedOn w:val="JegyzetszvegChar"/>
    <w:link w:val="Megjegyzstrgya"/>
    <w:uiPriority w:val="99"/>
    <w:semiHidden/>
    <w:locked/>
    <w:rsid w:val="00DE4976"/>
    <w:rPr>
      <w:rFonts w:ascii="Verdana" w:hAnsi="Verdana" w:cs="Times New Roman"/>
      <w:b/>
      <w:bCs/>
      <w:sz w:val="20"/>
      <w:szCs w:val="20"/>
    </w:rPr>
  </w:style>
  <w:style w:type="character" w:customStyle="1" w:styleId="Concorde5Char">
    <w:name w:val="Concorde 5 Char"/>
    <w:link w:val="Concorde5"/>
    <w:uiPriority w:val="99"/>
    <w:locked/>
    <w:rsid w:val="002F149F"/>
    <w:rPr>
      <w:rFonts w:ascii="Verdana" w:hAnsi="Verdana"/>
      <w:b/>
      <w:i/>
      <w:lang w:val="hu-HU" w:eastAsia="hu-HU"/>
    </w:rPr>
  </w:style>
  <w:style w:type="character" w:customStyle="1" w:styleId="Concorde2Char">
    <w:name w:val="Concorde 2 Char"/>
    <w:link w:val="Concorde2"/>
    <w:uiPriority w:val="99"/>
    <w:locked/>
    <w:rsid w:val="00C54FE9"/>
    <w:rPr>
      <w:rFonts w:ascii="Verdana" w:hAnsi="Verdana"/>
      <w:b/>
      <w:smallCaps/>
      <w:sz w:val="22"/>
      <w:lang w:val="hu-HU" w:eastAsia="hu-HU"/>
    </w:rPr>
  </w:style>
  <w:style w:type="character" w:styleId="Helyrzszveg">
    <w:name w:val="Placeholder Text"/>
    <w:basedOn w:val="Bekezdsalapbettpusa"/>
    <w:uiPriority w:val="99"/>
    <w:semiHidden/>
    <w:rsid w:val="00A644C2"/>
    <w:rPr>
      <w:rFonts w:cs="Times New Roman"/>
      <w:color w:val="808080"/>
    </w:rPr>
  </w:style>
  <w:style w:type="paragraph" w:styleId="Listaszerbekezds">
    <w:name w:val="List Paragraph"/>
    <w:basedOn w:val="Norml"/>
    <w:uiPriority w:val="34"/>
    <w:qFormat/>
    <w:rsid w:val="00347527"/>
    <w:pPr>
      <w:ind w:left="720"/>
      <w:contextualSpacing/>
    </w:pPr>
  </w:style>
  <w:style w:type="paragraph" w:styleId="Tartalomjegyzkcmsora">
    <w:name w:val="TOC Heading"/>
    <w:basedOn w:val="Cmsor1"/>
    <w:next w:val="Norml"/>
    <w:uiPriority w:val="99"/>
    <w:qFormat/>
    <w:rsid w:val="005C24ED"/>
    <w:pPr>
      <w:spacing w:before="480" w:after="0" w:line="276" w:lineRule="auto"/>
      <w:jc w:val="left"/>
      <w:outlineLvl w:val="9"/>
    </w:pPr>
    <w:rPr>
      <w:rFonts w:ascii="Cambria" w:hAnsi="Cambria"/>
      <w:bCs/>
      <w:caps w:val="0"/>
      <w:color w:val="365F91"/>
      <w:kern w:val="0"/>
      <w:sz w:val="28"/>
      <w:szCs w:val="28"/>
    </w:rPr>
  </w:style>
  <w:style w:type="paragraph" w:customStyle="1" w:styleId="Default">
    <w:name w:val="Default"/>
    <w:uiPriority w:val="99"/>
    <w:rsid w:val="007911A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913855">
      <w:marLeft w:val="0"/>
      <w:marRight w:val="0"/>
      <w:marTop w:val="0"/>
      <w:marBottom w:val="0"/>
      <w:divBdr>
        <w:top w:val="none" w:sz="0" w:space="0" w:color="auto"/>
        <w:left w:val="none" w:sz="0" w:space="0" w:color="auto"/>
        <w:bottom w:val="none" w:sz="0" w:space="0" w:color="auto"/>
        <w:right w:val="none" w:sz="0" w:space="0" w:color="auto"/>
      </w:divBdr>
    </w:div>
    <w:div w:id="1045913856">
      <w:marLeft w:val="0"/>
      <w:marRight w:val="0"/>
      <w:marTop w:val="0"/>
      <w:marBottom w:val="0"/>
      <w:divBdr>
        <w:top w:val="none" w:sz="0" w:space="0" w:color="auto"/>
        <w:left w:val="none" w:sz="0" w:space="0" w:color="auto"/>
        <w:bottom w:val="none" w:sz="0" w:space="0" w:color="auto"/>
        <w:right w:val="none" w:sz="0" w:space="0" w:color="auto"/>
      </w:divBdr>
    </w:div>
    <w:div w:id="1045913857">
      <w:marLeft w:val="0"/>
      <w:marRight w:val="0"/>
      <w:marTop w:val="0"/>
      <w:marBottom w:val="0"/>
      <w:divBdr>
        <w:top w:val="none" w:sz="0" w:space="0" w:color="auto"/>
        <w:left w:val="none" w:sz="0" w:space="0" w:color="auto"/>
        <w:bottom w:val="none" w:sz="0" w:space="0" w:color="auto"/>
        <w:right w:val="none" w:sz="0" w:space="0" w:color="auto"/>
      </w:divBdr>
    </w:div>
    <w:div w:id="1045913858">
      <w:marLeft w:val="0"/>
      <w:marRight w:val="0"/>
      <w:marTop w:val="0"/>
      <w:marBottom w:val="0"/>
      <w:divBdr>
        <w:top w:val="none" w:sz="0" w:space="0" w:color="auto"/>
        <w:left w:val="none" w:sz="0" w:space="0" w:color="auto"/>
        <w:bottom w:val="none" w:sz="0" w:space="0" w:color="auto"/>
        <w:right w:val="none" w:sz="0" w:space="0" w:color="auto"/>
      </w:divBdr>
    </w:div>
    <w:div w:id="1045913859">
      <w:marLeft w:val="0"/>
      <w:marRight w:val="0"/>
      <w:marTop w:val="0"/>
      <w:marBottom w:val="0"/>
      <w:divBdr>
        <w:top w:val="none" w:sz="0" w:space="0" w:color="auto"/>
        <w:left w:val="none" w:sz="0" w:space="0" w:color="auto"/>
        <w:bottom w:val="none" w:sz="0" w:space="0" w:color="auto"/>
        <w:right w:val="none" w:sz="0" w:space="0" w:color="auto"/>
      </w:divBdr>
    </w:div>
    <w:div w:id="1045913860">
      <w:marLeft w:val="0"/>
      <w:marRight w:val="0"/>
      <w:marTop w:val="0"/>
      <w:marBottom w:val="0"/>
      <w:divBdr>
        <w:top w:val="none" w:sz="0" w:space="0" w:color="auto"/>
        <w:left w:val="none" w:sz="0" w:space="0" w:color="auto"/>
        <w:bottom w:val="none" w:sz="0" w:space="0" w:color="auto"/>
        <w:right w:val="none" w:sz="0" w:space="0" w:color="auto"/>
      </w:divBdr>
    </w:div>
    <w:div w:id="1045913861">
      <w:marLeft w:val="0"/>
      <w:marRight w:val="0"/>
      <w:marTop w:val="0"/>
      <w:marBottom w:val="0"/>
      <w:divBdr>
        <w:top w:val="none" w:sz="0" w:space="0" w:color="auto"/>
        <w:left w:val="none" w:sz="0" w:space="0" w:color="auto"/>
        <w:bottom w:val="none" w:sz="0" w:space="0" w:color="auto"/>
        <w:right w:val="none" w:sz="0" w:space="0" w:color="auto"/>
      </w:divBdr>
    </w:div>
    <w:div w:id="1045913862">
      <w:marLeft w:val="0"/>
      <w:marRight w:val="0"/>
      <w:marTop w:val="0"/>
      <w:marBottom w:val="0"/>
      <w:divBdr>
        <w:top w:val="none" w:sz="0" w:space="0" w:color="auto"/>
        <w:left w:val="none" w:sz="0" w:space="0" w:color="auto"/>
        <w:bottom w:val="none" w:sz="0" w:space="0" w:color="auto"/>
        <w:right w:val="none" w:sz="0" w:space="0" w:color="auto"/>
      </w:divBdr>
    </w:div>
    <w:div w:id="1045913864">
      <w:marLeft w:val="0"/>
      <w:marRight w:val="0"/>
      <w:marTop w:val="0"/>
      <w:marBottom w:val="0"/>
      <w:divBdr>
        <w:top w:val="none" w:sz="0" w:space="0" w:color="auto"/>
        <w:left w:val="none" w:sz="0" w:space="0" w:color="auto"/>
        <w:bottom w:val="none" w:sz="0" w:space="0" w:color="auto"/>
        <w:right w:val="none" w:sz="0" w:space="0" w:color="auto"/>
      </w:divBdr>
    </w:div>
    <w:div w:id="1045913865">
      <w:marLeft w:val="0"/>
      <w:marRight w:val="0"/>
      <w:marTop w:val="0"/>
      <w:marBottom w:val="0"/>
      <w:divBdr>
        <w:top w:val="none" w:sz="0" w:space="0" w:color="auto"/>
        <w:left w:val="none" w:sz="0" w:space="0" w:color="auto"/>
        <w:bottom w:val="none" w:sz="0" w:space="0" w:color="auto"/>
        <w:right w:val="none" w:sz="0" w:space="0" w:color="auto"/>
      </w:divBdr>
    </w:div>
    <w:div w:id="1045913866">
      <w:marLeft w:val="0"/>
      <w:marRight w:val="0"/>
      <w:marTop w:val="0"/>
      <w:marBottom w:val="0"/>
      <w:divBdr>
        <w:top w:val="none" w:sz="0" w:space="0" w:color="auto"/>
        <w:left w:val="none" w:sz="0" w:space="0" w:color="auto"/>
        <w:bottom w:val="none" w:sz="0" w:space="0" w:color="auto"/>
        <w:right w:val="none" w:sz="0" w:space="0" w:color="auto"/>
      </w:divBdr>
      <w:divsChild>
        <w:div w:id="1045913863">
          <w:marLeft w:val="0"/>
          <w:marRight w:val="0"/>
          <w:marTop w:val="0"/>
          <w:marBottom w:val="0"/>
          <w:divBdr>
            <w:top w:val="none" w:sz="0" w:space="0" w:color="auto"/>
            <w:left w:val="none" w:sz="0" w:space="0" w:color="auto"/>
            <w:bottom w:val="none" w:sz="0" w:space="0" w:color="auto"/>
            <w:right w:val="none" w:sz="0" w:space="0" w:color="auto"/>
          </w:divBdr>
        </w:div>
      </w:divsChild>
    </w:div>
    <w:div w:id="1045913867">
      <w:marLeft w:val="0"/>
      <w:marRight w:val="0"/>
      <w:marTop w:val="0"/>
      <w:marBottom w:val="0"/>
      <w:divBdr>
        <w:top w:val="none" w:sz="0" w:space="0" w:color="auto"/>
        <w:left w:val="none" w:sz="0" w:space="0" w:color="auto"/>
        <w:bottom w:val="none" w:sz="0" w:space="0" w:color="auto"/>
        <w:right w:val="none" w:sz="0" w:space="0" w:color="auto"/>
      </w:divBdr>
    </w:div>
    <w:div w:id="1045913868">
      <w:marLeft w:val="0"/>
      <w:marRight w:val="0"/>
      <w:marTop w:val="0"/>
      <w:marBottom w:val="0"/>
      <w:divBdr>
        <w:top w:val="none" w:sz="0" w:space="0" w:color="auto"/>
        <w:left w:val="none" w:sz="0" w:space="0" w:color="auto"/>
        <w:bottom w:val="none" w:sz="0" w:space="0" w:color="auto"/>
        <w:right w:val="none" w:sz="0" w:space="0" w:color="auto"/>
      </w:divBdr>
    </w:div>
    <w:div w:id="1045913869">
      <w:marLeft w:val="0"/>
      <w:marRight w:val="0"/>
      <w:marTop w:val="0"/>
      <w:marBottom w:val="0"/>
      <w:divBdr>
        <w:top w:val="none" w:sz="0" w:space="0" w:color="auto"/>
        <w:left w:val="none" w:sz="0" w:space="0" w:color="auto"/>
        <w:bottom w:val="none" w:sz="0" w:space="0" w:color="auto"/>
        <w:right w:val="none" w:sz="0" w:space="0" w:color="auto"/>
      </w:divBdr>
    </w:div>
    <w:div w:id="1045913870">
      <w:marLeft w:val="0"/>
      <w:marRight w:val="0"/>
      <w:marTop w:val="0"/>
      <w:marBottom w:val="0"/>
      <w:divBdr>
        <w:top w:val="none" w:sz="0" w:space="0" w:color="auto"/>
        <w:left w:val="none" w:sz="0" w:space="0" w:color="auto"/>
        <w:bottom w:val="none" w:sz="0" w:space="0" w:color="auto"/>
        <w:right w:val="none" w:sz="0" w:space="0" w:color="auto"/>
      </w:divBdr>
    </w:div>
    <w:div w:id="1045913871">
      <w:marLeft w:val="0"/>
      <w:marRight w:val="0"/>
      <w:marTop w:val="0"/>
      <w:marBottom w:val="0"/>
      <w:divBdr>
        <w:top w:val="none" w:sz="0" w:space="0" w:color="auto"/>
        <w:left w:val="none" w:sz="0" w:space="0" w:color="auto"/>
        <w:bottom w:val="none" w:sz="0" w:space="0" w:color="auto"/>
        <w:right w:val="none" w:sz="0" w:space="0" w:color="auto"/>
      </w:divBdr>
    </w:div>
    <w:div w:id="1045913872">
      <w:marLeft w:val="0"/>
      <w:marRight w:val="0"/>
      <w:marTop w:val="0"/>
      <w:marBottom w:val="0"/>
      <w:divBdr>
        <w:top w:val="none" w:sz="0" w:space="0" w:color="auto"/>
        <w:left w:val="none" w:sz="0" w:space="0" w:color="auto"/>
        <w:bottom w:val="none" w:sz="0" w:space="0" w:color="auto"/>
        <w:right w:val="none" w:sz="0" w:space="0" w:color="auto"/>
      </w:divBdr>
    </w:div>
    <w:div w:id="1045913873">
      <w:marLeft w:val="0"/>
      <w:marRight w:val="0"/>
      <w:marTop w:val="0"/>
      <w:marBottom w:val="0"/>
      <w:divBdr>
        <w:top w:val="none" w:sz="0" w:space="0" w:color="auto"/>
        <w:left w:val="none" w:sz="0" w:space="0" w:color="auto"/>
        <w:bottom w:val="none" w:sz="0" w:space="0" w:color="auto"/>
        <w:right w:val="none" w:sz="0" w:space="0" w:color="auto"/>
      </w:divBdr>
    </w:div>
    <w:div w:id="1045913874">
      <w:marLeft w:val="0"/>
      <w:marRight w:val="0"/>
      <w:marTop w:val="0"/>
      <w:marBottom w:val="0"/>
      <w:divBdr>
        <w:top w:val="none" w:sz="0" w:space="0" w:color="auto"/>
        <w:left w:val="none" w:sz="0" w:space="0" w:color="auto"/>
        <w:bottom w:val="none" w:sz="0" w:space="0" w:color="auto"/>
        <w:right w:val="none" w:sz="0" w:space="0" w:color="auto"/>
      </w:divBdr>
    </w:div>
    <w:div w:id="1045913875">
      <w:marLeft w:val="0"/>
      <w:marRight w:val="0"/>
      <w:marTop w:val="0"/>
      <w:marBottom w:val="0"/>
      <w:divBdr>
        <w:top w:val="none" w:sz="0" w:space="0" w:color="auto"/>
        <w:left w:val="none" w:sz="0" w:space="0" w:color="auto"/>
        <w:bottom w:val="none" w:sz="0" w:space="0" w:color="auto"/>
        <w:right w:val="none" w:sz="0" w:space="0" w:color="auto"/>
      </w:divBdr>
    </w:div>
    <w:div w:id="1045913876">
      <w:marLeft w:val="0"/>
      <w:marRight w:val="0"/>
      <w:marTop w:val="0"/>
      <w:marBottom w:val="0"/>
      <w:divBdr>
        <w:top w:val="none" w:sz="0" w:space="0" w:color="auto"/>
        <w:left w:val="none" w:sz="0" w:space="0" w:color="auto"/>
        <w:bottom w:val="none" w:sz="0" w:space="0" w:color="auto"/>
        <w:right w:val="none" w:sz="0" w:space="0" w:color="auto"/>
      </w:divBdr>
    </w:div>
    <w:div w:id="1045913877">
      <w:marLeft w:val="0"/>
      <w:marRight w:val="0"/>
      <w:marTop w:val="0"/>
      <w:marBottom w:val="0"/>
      <w:divBdr>
        <w:top w:val="none" w:sz="0" w:space="0" w:color="auto"/>
        <w:left w:val="none" w:sz="0" w:space="0" w:color="auto"/>
        <w:bottom w:val="none" w:sz="0" w:space="0" w:color="auto"/>
        <w:right w:val="none" w:sz="0" w:space="0" w:color="auto"/>
      </w:divBdr>
    </w:div>
    <w:div w:id="1045913878">
      <w:marLeft w:val="0"/>
      <w:marRight w:val="0"/>
      <w:marTop w:val="0"/>
      <w:marBottom w:val="0"/>
      <w:divBdr>
        <w:top w:val="none" w:sz="0" w:space="0" w:color="auto"/>
        <w:left w:val="none" w:sz="0" w:space="0" w:color="auto"/>
        <w:bottom w:val="none" w:sz="0" w:space="0" w:color="auto"/>
        <w:right w:val="none" w:sz="0" w:space="0" w:color="auto"/>
      </w:divBdr>
    </w:div>
    <w:div w:id="1045913879">
      <w:marLeft w:val="0"/>
      <w:marRight w:val="0"/>
      <w:marTop w:val="0"/>
      <w:marBottom w:val="0"/>
      <w:divBdr>
        <w:top w:val="none" w:sz="0" w:space="0" w:color="auto"/>
        <w:left w:val="none" w:sz="0" w:space="0" w:color="auto"/>
        <w:bottom w:val="none" w:sz="0" w:space="0" w:color="auto"/>
        <w:right w:val="none" w:sz="0" w:space="0" w:color="auto"/>
      </w:divBdr>
    </w:div>
    <w:div w:id="1045913880">
      <w:marLeft w:val="0"/>
      <w:marRight w:val="0"/>
      <w:marTop w:val="0"/>
      <w:marBottom w:val="0"/>
      <w:divBdr>
        <w:top w:val="none" w:sz="0" w:space="0" w:color="auto"/>
        <w:left w:val="none" w:sz="0" w:space="0" w:color="auto"/>
        <w:bottom w:val="none" w:sz="0" w:space="0" w:color="auto"/>
        <w:right w:val="none" w:sz="0" w:space="0" w:color="auto"/>
      </w:divBdr>
    </w:div>
    <w:div w:id="1045913881">
      <w:marLeft w:val="0"/>
      <w:marRight w:val="0"/>
      <w:marTop w:val="0"/>
      <w:marBottom w:val="0"/>
      <w:divBdr>
        <w:top w:val="none" w:sz="0" w:space="0" w:color="auto"/>
        <w:left w:val="none" w:sz="0" w:space="0" w:color="auto"/>
        <w:bottom w:val="none" w:sz="0" w:space="0" w:color="auto"/>
        <w:right w:val="none" w:sz="0" w:space="0" w:color="auto"/>
      </w:divBdr>
    </w:div>
    <w:div w:id="1045913882">
      <w:marLeft w:val="0"/>
      <w:marRight w:val="0"/>
      <w:marTop w:val="0"/>
      <w:marBottom w:val="0"/>
      <w:divBdr>
        <w:top w:val="none" w:sz="0" w:space="0" w:color="auto"/>
        <w:left w:val="none" w:sz="0" w:space="0" w:color="auto"/>
        <w:bottom w:val="none" w:sz="0" w:space="0" w:color="auto"/>
        <w:right w:val="none" w:sz="0" w:space="0" w:color="auto"/>
      </w:divBdr>
    </w:div>
    <w:div w:id="1045913883">
      <w:marLeft w:val="0"/>
      <w:marRight w:val="0"/>
      <w:marTop w:val="0"/>
      <w:marBottom w:val="0"/>
      <w:divBdr>
        <w:top w:val="none" w:sz="0" w:space="0" w:color="auto"/>
        <w:left w:val="none" w:sz="0" w:space="0" w:color="auto"/>
        <w:bottom w:val="none" w:sz="0" w:space="0" w:color="auto"/>
        <w:right w:val="none" w:sz="0" w:space="0" w:color="auto"/>
      </w:divBdr>
    </w:div>
    <w:div w:id="10459138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ivatvagyonkezeles.h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14638</Words>
  <Characters>110215</Characters>
  <Application>Microsoft Office Word</Application>
  <DocSecurity>0</DocSecurity>
  <Lines>918</Lines>
  <Paragraphs>249</Paragraphs>
  <ScaleCrop>false</ScaleCrop>
  <HeadingPairs>
    <vt:vector size="2" baseType="variant">
      <vt:variant>
        <vt:lpstr>Cím</vt:lpstr>
      </vt:variant>
      <vt:variant>
        <vt:i4>1</vt:i4>
      </vt:variant>
    </vt:vector>
  </HeadingPairs>
  <TitlesOfParts>
    <vt:vector size="1" baseType="lpstr">
      <vt:lpstr>A TÁJÉKOZTATÓ RÖVID ÖSSZEFOGLALÁSA</vt:lpstr>
    </vt:vector>
  </TitlesOfParts>
  <Company>Hewlett-Packard Company</Company>
  <LinksUpToDate>false</LinksUpToDate>
  <CharactersWithSpaces>124604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TÁJÉKOZTATÓ RÖVID ÖSSZEFOGLALÁSA</dc:title>
  <dc:creator>palfi</dc:creator>
  <cp:lastModifiedBy>Miskolczi Brigitta</cp:lastModifiedBy>
  <cp:revision>3</cp:revision>
  <cp:lastPrinted>2013-03-27T12:40:00Z</cp:lastPrinted>
  <dcterms:created xsi:type="dcterms:W3CDTF">2013-05-16T09:17:00Z</dcterms:created>
  <dcterms:modified xsi:type="dcterms:W3CDTF">2013-05-16T09:18:00Z</dcterms:modified>
</cp:coreProperties>
</file>